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7.png" ContentType="image/png"/>
  <Override PartName="/word/media/rId53.png" ContentType="image/png"/>
  <Override PartName="/word/media/rId45.png" ContentType="image/png"/>
  <Override PartName="/word/media/rId61.png" ContentType="image/png"/>
  <Override PartName="/word/media/rId20.svg" ContentType="image/svg+xml"/>
  <Override PartName="/word/media/rId2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統計的性質</w:t>
      </w:r>
    </w:p>
    <w:p>
      <w:pPr>
        <w:pStyle w:val="Subtitle"/>
      </w:pPr>
      <w:r>
        <w:rPr>
          <w:rFonts w:hint="eastAsia"/>
        </w:rPr>
        <w:t xml:space="preserve">機械学習</w:t>
      </w:r>
    </w:p>
    <w:p>
      <w:pPr>
        <w:pStyle w:val="Author"/>
      </w:pPr>
      <w:r>
        <w:rPr>
          <w:rFonts w:hint="eastAsia"/>
        </w:rPr>
        <w:t xml:space="preserve">川田恵介</w:t>
      </w:r>
    </w:p>
    <w:p>
      <w:pPr>
        <w:pStyle w:val="Date"/>
      </w:pPr>
      <w:r>
        <w:t xml:space="preserve">2025-10-05</w:t>
      </w:r>
    </w:p>
    <w:bookmarkStart w:id="34" w:name="データ分析"/>
    <w:p>
      <w:pPr>
        <w:pStyle w:val="Heading1"/>
      </w:pPr>
      <w:r>
        <w:t xml:space="preserve">1. </w:t>
      </w:r>
      <w:r>
        <w:rPr>
          <w:rFonts w:hint="eastAsia"/>
        </w:rPr>
        <w:t xml:space="preserve">データ分析</w:t>
      </w:r>
    </w:p>
    <w:bookmarkStart w:id="23" w:name="例"/>
    <w:p>
      <w:pPr>
        <w:pStyle w:val="Heading2"/>
      </w:pPr>
      <w:r>
        <w:t xml:space="preserve">1.1 </w:t>
      </w:r>
      <w:r>
        <w:rPr>
          <w:rFonts w:hint="eastAsia"/>
        </w:rPr>
        <w:t xml:space="preserve">例</w:t>
      </w:r>
    </w:p>
    <w:p>
      <w:pPr>
        <w:pStyle w:val="CaptionedFigure"/>
      </w:pPr>
      <w:r>
        <w:drawing>
          <wp:inline>
            <wp:extent cx="1714500" cy="1114425"/>
            <wp:effectExtent b="0" l="0" r="0" t="0"/>
            <wp:docPr descr="Elephant" title="" id="21" name="Picture"/>
            <a:graphic>
              <a:graphicData uri="http://schemas.openxmlformats.org/drawingml/2006/picture">
                <pic:pic>
                  <pic:nvPicPr>
                    <pic:cNvPr descr="Diagram/SamplePopulation.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714500" cy="1114425"/>
                    </a:xfrm>
                    <a:prstGeom prst="rect">
                      <a:avLst/>
                    </a:prstGeom>
                    <a:noFill/>
                    <a:ln w="9525">
                      <a:noFill/>
                      <a:headEnd/>
                      <a:tailEnd/>
                    </a:ln>
                  </pic:spPr>
                </pic:pic>
              </a:graphicData>
            </a:graphic>
          </wp:inline>
        </w:drawing>
      </w:r>
    </w:p>
    <w:p>
      <w:pPr>
        <w:pStyle w:val="ImageCaption"/>
      </w:pPr>
      <w:r>
        <w:t xml:space="preserve">Elephant</w:t>
      </w:r>
    </w:p>
    <w:bookmarkEnd w:id="23"/>
    <w:bookmarkStart w:id="27" w:name="例-1"/>
    <w:p>
      <w:pPr>
        <w:pStyle w:val="Heading2"/>
      </w:pPr>
      <w:r>
        <w:t xml:space="preserve">1.2 </w:t>
      </w:r>
      <w:r>
        <w:rPr>
          <w:rFonts w:hint="eastAsia"/>
        </w:rPr>
        <w:t xml:space="preserve">例</w:t>
      </w:r>
    </w:p>
    <w:p>
      <w:pPr>
        <w:pStyle w:val="CaptionedFigure"/>
      </w:pPr>
      <w:r>
        <w:drawing>
          <wp:inline>
            <wp:extent cx="2971800" cy="1219200"/>
            <wp:effectExtent b="0" l="0" r="0" t="0"/>
            <wp:docPr descr="Elephant" title="" id="25" name="Picture"/>
            <a:graphic>
              <a:graphicData uri="http://schemas.openxmlformats.org/drawingml/2006/picture">
                <pic:pic>
                  <pic:nvPicPr>
                    <pic:cNvPr descr="Diagram/SamplePopulationComplex.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2971800" cy="1219200"/>
                    </a:xfrm>
                    <a:prstGeom prst="rect">
                      <a:avLst/>
                    </a:prstGeom>
                    <a:noFill/>
                    <a:ln w="9525">
                      <a:noFill/>
                      <a:headEnd/>
                      <a:tailEnd/>
                    </a:ln>
                  </pic:spPr>
                </pic:pic>
              </a:graphicData>
            </a:graphic>
          </wp:inline>
        </w:drawing>
      </w:r>
    </w:p>
    <w:p>
      <w:pPr>
        <w:pStyle w:val="ImageCaption"/>
      </w:pPr>
      <w:r>
        <w:t xml:space="preserve">Elephant</w:t>
      </w:r>
    </w:p>
    <w:bookmarkEnd w:id="27"/>
    <w:bookmarkStart w:id="28" w:name="ここまでのデータ活用"/>
    <w:p>
      <w:pPr>
        <w:pStyle w:val="Heading2"/>
      </w:pPr>
      <w:r>
        <w:t xml:space="preserve">1.3 </w:t>
      </w:r>
      <w:r>
        <w:rPr>
          <w:rFonts w:hint="eastAsia"/>
        </w:rPr>
        <w:t xml:space="preserve">ここまでのデータ活用</w:t>
      </w:r>
    </w:p>
    <w:p>
      <w:pPr>
        <w:numPr>
          <w:ilvl w:val="0"/>
          <w:numId w:val="1001"/>
        </w:numPr>
      </w:pPr>
      <w:r>
        <w:rPr>
          <w:rFonts w:hint="eastAsia"/>
          <w:b/>
          <w:bCs/>
        </w:rPr>
        <w:t xml:space="preserve">事例ごとの個別予測</w:t>
      </w:r>
      <w:r>
        <w:t xml:space="preserve"> </w:t>
      </w:r>
      <w:r>
        <w:rPr>
          <w:rFonts w:hint="eastAsia"/>
        </w:rPr>
        <w:t xml:space="preserve">を行う予測モデルを推定する</w:t>
      </w:r>
    </w:p>
    <w:p>
      <w:pPr>
        <w:numPr>
          <w:ilvl w:val="0"/>
          <w:numId w:val="1001"/>
        </w:numPr>
      </w:pPr>
      <w:r>
        <w:rPr>
          <w:rFonts w:hint="eastAsia"/>
        </w:rPr>
        <w:t xml:space="preserve">LASSOを活用すれば、複雑なモデルも推定できる</w:t>
      </w:r>
    </w:p>
    <w:p>
      <w:pPr>
        <w:numPr>
          <w:ilvl w:val="1"/>
          <w:numId w:val="1002"/>
        </w:numPr>
      </w:pPr>
      <w:r>
        <w:t xml:space="preserve">[</w:t>
      </w:r>
      <w:r>
        <w:rPr>
          <w:rFonts w:hint="eastAsia"/>
          <w:b/>
          <w:bCs/>
        </w:rPr>
        <w:t xml:space="preserve">板橋区</w:t>
      </w:r>
      <w:r>
        <w:rPr>
          <w:rFonts w:hint="eastAsia"/>
        </w:rPr>
        <w:t xml:space="preserve">、55平米、駅から5分、３部屋、築20年]の物件の予測価格は5000万円</w:t>
      </w:r>
    </w:p>
    <w:p>
      <w:pPr>
        <w:numPr>
          <w:ilvl w:val="1"/>
          <w:numId w:val="1002"/>
        </w:numPr>
      </w:pPr>
      <w:r>
        <w:t xml:space="preserve">[</w:t>
      </w:r>
      <w:r>
        <w:rPr>
          <w:rFonts w:hint="eastAsia"/>
          <w:b/>
          <w:bCs/>
        </w:rPr>
        <w:t xml:space="preserve">練馬区</w:t>
      </w:r>
      <w:r>
        <w:rPr>
          <w:rFonts w:hint="eastAsia"/>
        </w:rPr>
        <w:t xml:space="preserve">、55平米、駅から5分、３部屋、築20年]の物件の予測価格は5500万円</w:t>
      </w:r>
    </w:p>
    <w:p>
      <w:pPr>
        <w:numPr>
          <w:ilvl w:val="0"/>
          <w:numId w:val="1001"/>
        </w:numPr>
      </w:pPr>
      <w:r>
        <w:rPr>
          <w:rFonts w:hint="eastAsia"/>
        </w:rPr>
        <w:t xml:space="preserve">注意点:</w:t>
      </w:r>
      <w:r>
        <w:t xml:space="preserve"> </w:t>
      </w:r>
      <w:r>
        <w:rPr>
          <w:rFonts w:hint="eastAsia"/>
        </w:rPr>
        <w:t xml:space="preserve">人間行動や社会的な帰結を予測することは難しい</w:t>
      </w:r>
    </w:p>
    <w:p>
      <w:pPr>
        <w:pStyle w:val="Compact"/>
        <w:numPr>
          <w:ilvl w:val="1"/>
          <w:numId w:val="1003"/>
        </w:numPr>
      </w:pPr>
      <w:r>
        <w:rPr>
          <w:rFonts w:hint="eastAsia"/>
        </w:rPr>
        <w:t xml:space="preserve">AIサギに注意</w:t>
      </w:r>
      <w:r>
        <w:t xml:space="preserve"> </w:t>
      </w:r>
      <w:r>
        <w:t xml:space="preserve">(Narayanan and Kapoor 2024)</w:t>
      </w:r>
    </w:p>
    <w:bookmarkEnd w:id="28"/>
    <w:bookmarkStart w:id="31" w:name="他のデータ活用"/>
    <w:p>
      <w:pPr>
        <w:pStyle w:val="Heading2"/>
      </w:pPr>
      <w:r>
        <w:t xml:space="preserve">1.4 </w:t>
      </w:r>
      <w:r>
        <w:rPr>
          <w:rFonts w:hint="eastAsia"/>
        </w:rPr>
        <w:t xml:space="preserve">他のデータ活用</w:t>
      </w:r>
    </w:p>
    <w:p>
      <w:pPr>
        <w:numPr>
          <w:ilvl w:val="0"/>
          <w:numId w:val="1004"/>
        </w:numPr>
      </w:pPr>
      <w:r>
        <w:rPr>
          <w:rFonts w:hint="eastAsia"/>
        </w:rPr>
        <w:t xml:space="preserve">事例</w:t>
      </w:r>
      <w:r>
        <w:rPr>
          <w:rFonts w:hint="eastAsia"/>
          <w:b/>
          <w:bCs/>
        </w:rPr>
        <w:t xml:space="preserve">全体</w:t>
      </w:r>
      <w:r>
        <w:rPr>
          <w:rFonts w:hint="eastAsia"/>
        </w:rPr>
        <w:t xml:space="preserve">の”重要な特徴”を要約し、報告する</w:t>
      </w:r>
    </w:p>
    <w:p>
      <w:pPr>
        <w:numPr>
          <w:ilvl w:val="1"/>
          <w:numId w:val="1005"/>
        </w:numPr>
      </w:pPr>
      <w:hyperlink r:id="rId29">
        <w:r>
          <w:rPr>
            <w:rStyle w:val="Hyperlink"/>
            <w:rFonts w:hint="eastAsia"/>
          </w:rPr>
          <w:t xml:space="preserve">スカイラークの中期経営計画</w:t>
        </w:r>
      </w:hyperlink>
    </w:p>
    <w:p>
      <w:pPr>
        <w:numPr>
          <w:ilvl w:val="1"/>
          <w:numId w:val="1005"/>
        </w:numPr>
      </w:pPr>
      <w:hyperlink r:id="rId30">
        <w:r>
          <w:rPr>
            <w:rStyle w:val="Hyperlink"/>
            <w:rFonts w:hint="eastAsia"/>
          </w:rPr>
          <w:t xml:space="preserve">経済財政白書</w:t>
        </w:r>
      </w:hyperlink>
    </w:p>
    <w:p>
      <w:pPr>
        <w:numPr>
          <w:ilvl w:val="0"/>
          <w:numId w:val="1004"/>
        </w:numPr>
      </w:pPr>
      <w:r>
        <w:rPr>
          <w:rFonts w:hint="eastAsia"/>
        </w:rPr>
        <w:t xml:space="preserve">多くの人に伝えやすく、利害関係社が多い集団的意思決定(政策、大企業の戦略決定等)向いている</w:t>
      </w:r>
    </w:p>
    <w:p>
      <w:pPr>
        <w:pStyle w:val="Compact"/>
        <w:numPr>
          <w:ilvl w:val="1"/>
          <w:numId w:val="1006"/>
        </w:numPr>
      </w:pPr>
      <w:r>
        <w:rPr>
          <w:rFonts w:hint="eastAsia"/>
        </w:rPr>
        <w:t xml:space="preserve">経済学における実証分析の中核目標</w:t>
      </w:r>
    </w:p>
    <w:bookmarkEnd w:id="31"/>
    <w:bookmarkStart w:id="32" w:name="ロールプレイ-不動産市場分析チーム"/>
    <w:p>
      <w:pPr>
        <w:pStyle w:val="Heading2"/>
      </w:pPr>
      <w:r>
        <w:t xml:space="preserve">1.5 ロールプレイ: </w:t>
      </w:r>
      <w:r>
        <w:rPr>
          <w:rFonts w:hint="eastAsia"/>
        </w:rPr>
        <w:t xml:space="preserve">不動産市場分析チーム</w:t>
      </w:r>
    </w:p>
    <w:p>
      <w:pPr>
        <w:numPr>
          <w:ilvl w:val="0"/>
          <w:numId w:val="1007"/>
        </w:numPr>
      </w:pPr>
      <w:r>
        <w:rPr>
          <w:rFonts w:hint="eastAsia"/>
        </w:rPr>
        <w:t xml:space="preserve">会社全体の意思決定を支援する情報(ファクト)として、2019-2024年にかけて、取引価格の変化を分析する</w:t>
      </w:r>
    </w:p>
    <w:p>
      <w:pPr>
        <w:numPr>
          <w:ilvl w:val="0"/>
          <w:numId w:val="1007"/>
        </w:numPr>
      </w:pPr>
      <w:r>
        <w:rPr>
          <w:rFonts w:hint="eastAsia"/>
        </w:rPr>
        <w:t xml:space="preserve">例えば、</w:t>
      </w:r>
      <w:r>
        <w:t xml:space="preserve"> </w:t>
      </w:r>
      <w:r>
        <w:rPr>
          <w:rFonts w:hint="eastAsia"/>
          <w:b/>
          <w:bCs/>
        </w:rPr>
        <w:t xml:space="preserve">データ上の</w:t>
      </w:r>
      <w:r>
        <w:t xml:space="preserve"> </w:t>
      </w:r>
      <w:r>
        <w:rPr>
          <w:rFonts w:hint="eastAsia"/>
        </w:rPr>
        <w:t xml:space="preserve">平均的な取引価格の差は</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year_2024, data)</w:t>
      </w:r>
    </w:p>
    <w:p>
      <w:pPr>
        <w:pStyle w:val="SourceCode"/>
      </w:pPr>
      <w:r>
        <w:br/>
      </w:r>
      <w:r>
        <w:rPr>
          <w:rStyle w:val="VerbatimChar"/>
        </w:rPr>
        <w:t xml:space="preserve">Call:</w:t>
      </w:r>
      <w:r>
        <w:br/>
      </w:r>
      <w:r>
        <w:rPr>
          <w:rStyle w:val="VerbatimChar"/>
        </w:rPr>
        <w:t xml:space="preserve">lm(formula = Price ~ year_2024, data = data)</w:t>
      </w:r>
      <w:r>
        <w:br/>
      </w:r>
      <w:r>
        <w:br/>
      </w:r>
      <w:r>
        <w:rPr>
          <w:rStyle w:val="VerbatimChar"/>
        </w:rPr>
        <w:t xml:space="preserve">Coefficients:</w:t>
      </w:r>
      <w:r>
        <w:br/>
      </w:r>
      <w:r>
        <w:rPr>
          <w:rStyle w:val="VerbatimChar"/>
        </w:rPr>
        <w:t xml:space="preserve">(Intercept)    year_2024  </w:t>
      </w:r>
      <w:r>
        <w:br/>
      </w:r>
      <w:r>
        <w:rPr>
          <w:rStyle w:val="VerbatimChar"/>
        </w:rPr>
        <w:t xml:space="preserve">      38.07        14.81  </w:t>
      </w:r>
    </w:p>
    <w:p>
      <w:pPr>
        <w:pStyle w:val="Compact"/>
        <w:numPr>
          <w:ilvl w:val="0"/>
          <w:numId w:val="1008"/>
        </w:numPr>
      </w:pPr>
      <w:r>
        <w:rPr>
          <w:rFonts w:hint="eastAsia"/>
        </w:rPr>
        <w:t xml:space="preserve">2024年の方が、平均的に1481万円ほど高い</w:t>
      </w:r>
    </w:p>
    <w:bookmarkEnd w:id="32"/>
    <w:bookmarkStart w:id="33" w:name="懸念"/>
    <w:p>
      <w:pPr>
        <w:pStyle w:val="Heading2"/>
      </w:pPr>
      <w:r>
        <w:t xml:space="preserve">1.6 </w:t>
      </w:r>
      <w:r>
        <w:rPr>
          <w:rFonts w:hint="eastAsia"/>
        </w:rPr>
        <w:t xml:space="preserve">懸念</w:t>
      </w:r>
    </w:p>
    <w:p>
      <w:pPr>
        <w:numPr>
          <w:ilvl w:val="0"/>
          <w:numId w:val="1009"/>
        </w:numPr>
      </w:pPr>
      <w:r>
        <w:rPr>
          <w:rFonts w:hint="eastAsia"/>
        </w:rPr>
        <w:t xml:space="preserve">全ての物件(母集団)ではなく、調査された物件についての差に過ぎない</w:t>
      </w:r>
    </w:p>
    <w:p>
      <w:pPr>
        <w:pStyle w:val="Compact"/>
        <w:numPr>
          <w:ilvl w:val="1"/>
          <w:numId w:val="1010"/>
        </w:numPr>
      </w:pPr>
      <w:r>
        <w:rPr>
          <w:rFonts w:hint="eastAsia"/>
        </w:rPr>
        <w:t xml:space="preserve">母集団における平均差はどのようなものか?</w:t>
      </w:r>
    </w:p>
    <w:bookmarkEnd w:id="33"/>
    <w:bookmarkEnd w:id="34"/>
    <w:bookmarkStart w:id="68" w:name="コイントスの例"/>
    <w:p>
      <w:pPr>
        <w:pStyle w:val="Heading1"/>
      </w:pPr>
      <w:r>
        <w:t xml:space="preserve">2. </w:t>
      </w:r>
      <w:r>
        <w:rPr>
          <w:rFonts w:hint="eastAsia"/>
        </w:rPr>
        <w:t xml:space="preserve">コイントスの例</w:t>
      </w:r>
    </w:p>
    <w:bookmarkStart w:id="35" w:name="コイントス"/>
    <w:p>
      <w:pPr>
        <w:pStyle w:val="Heading2"/>
      </w:pPr>
      <w:r>
        <w:t xml:space="preserve">2.1 コイントス</w:t>
      </w:r>
    </w:p>
    <w:p>
      <w:pPr>
        <w:numPr>
          <w:ilvl w:val="0"/>
          <w:numId w:val="1011"/>
        </w:numPr>
      </w:pPr>
      <w:r>
        <w:rPr>
          <w:rFonts w:hint="eastAsia"/>
        </w:rPr>
        <w:t xml:space="preserve">コイントスは”公平なくじ”として、幅広く利用されている</w:t>
      </w:r>
    </w:p>
    <w:p>
      <w:pPr>
        <w:pStyle w:val="Compact"/>
        <w:numPr>
          <w:ilvl w:val="1"/>
          <w:numId w:val="1012"/>
        </w:numPr>
      </w:pPr>
      <w:r>
        <w:rPr>
          <w:rFonts w:hint="eastAsia"/>
        </w:rPr>
        <w:t xml:space="preserve">先行/後攻、昼食のお店</w:t>
      </w:r>
    </w:p>
    <w:p>
      <w:pPr>
        <w:numPr>
          <w:ilvl w:val="0"/>
          <w:numId w:val="1011"/>
        </w:numPr>
      </w:pPr>
      <w:r>
        <w:rPr>
          <w:rFonts w:hint="eastAsia"/>
        </w:rPr>
        <w:t xml:space="preserve">教科書の例としても良く利用される</w:t>
      </w:r>
    </w:p>
    <w:p>
      <w:pPr>
        <w:pStyle w:val="Compact"/>
        <w:numPr>
          <w:ilvl w:val="1"/>
          <w:numId w:val="1013"/>
        </w:numPr>
      </w:pPr>
      <w:r>
        <w:rPr>
          <w:rFonts w:hint="eastAsia"/>
        </w:rPr>
        <w:t xml:space="preserve">「コイントスの結果が公平かどうかを検証しよう」</w:t>
      </w:r>
    </w:p>
    <w:bookmarkEnd w:id="35"/>
    <w:bookmarkStart w:id="37" w:name="bartovs2025fair"/>
    <w:p>
      <w:pPr>
        <w:pStyle w:val="Heading2"/>
      </w:pPr>
      <w:r>
        <w:t xml:space="preserve">2.2</w:t>
      </w:r>
      <w:r>
        <w:t xml:space="preserve"> </w:t>
      </w:r>
      <w:r>
        <w:t xml:space="preserve">Bartoš et al. (2025)</w:t>
      </w:r>
    </w:p>
    <w:p>
      <w:pPr>
        <w:numPr>
          <w:ilvl w:val="0"/>
          <w:numId w:val="1014"/>
        </w:numPr>
      </w:pPr>
      <w:r>
        <w:rPr>
          <w:rFonts w:hint="eastAsia"/>
        </w:rPr>
        <w:t xml:space="preserve">研究目標</w:t>
      </w:r>
      <w:r>
        <w:t xml:space="preserve"> </w:t>
      </w:r>
      <m:oMath>
        <m:r>
          <m:rPr>
            <m:sty m:val="p"/>
          </m:rPr>
          <m:t>=</m:t>
        </m:r>
      </m:oMath>
      <w:r>
        <w:t xml:space="preserve"> </w:t>
      </w:r>
      <w:r>
        <w:rPr>
          <w:rFonts w:hint="eastAsia"/>
        </w:rPr>
        <w:t xml:space="preserve">「投げた時と同じ面が出やすい」仮説を検証</w:t>
      </w:r>
    </w:p>
    <w:p>
      <w:pPr>
        <w:numPr>
          <w:ilvl w:val="0"/>
          <w:numId w:val="1014"/>
        </w:numPr>
      </w:pPr>
      <w:r>
        <w:rPr>
          <w:rFonts w:hint="eastAsia"/>
        </w:rPr>
        <w:t xml:space="preserve">350,757回のコイントスにより、事例をサンプリング</w:t>
      </w:r>
    </w:p>
    <w:p>
      <w:pPr>
        <w:numPr>
          <w:ilvl w:val="1"/>
          <w:numId w:val="1015"/>
        </w:numPr>
      </w:pPr>
      <w:r>
        <w:rPr>
          <w:rFonts w:hint="eastAsia"/>
        </w:rPr>
        <w:t xml:space="preserve">実際のサンプリング風景</w:t>
      </w:r>
      <w:r>
        <w:t xml:space="preserve"> </w:t>
      </w:r>
      <w:hyperlink r:id="rId36">
        <w:r>
          <w:rPr>
            <w:rStyle w:val="Hyperlink"/>
          </w:rPr>
          <w:t xml:space="preserve">Youtube</w:t>
        </w:r>
      </w:hyperlink>
    </w:p>
    <w:p>
      <w:pPr>
        <w:numPr>
          <w:ilvl w:val="1"/>
          <w:numId w:val="1015"/>
        </w:numPr>
      </w:pPr>
      <w:r>
        <w:rPr>
          <w:rFonts w:hint="eastAsia"/>
        </w:rPr>
        <w:t xml:space="preserve">母集団</w:t>
      </w:r>
      <w:r>
        <w:t xml:space="preserve"> </w:t>
      </w:r>
      <m:oMath>
        <m:r>
          <m:rPr>
            <m:sty m:val="p"/>
          </m:rPr>
          <m:t>=</m:t>
        </m:r>
      </m:oMath>
      <w:r>
        <w:t xml:space="preserve"> </w:t>
      </w:r>
      <w:r>
        <w:rPr>
          <w:rFonts w:hint="eastAsia"/>
        </w:rPr>
        <w:t xml:space="preserve">無限回のコイントスを行った結果</w:t>
      </w:r>
    </w:p>
    <w:bookmarkEnd w:id="37"/>
    <w:bookmarkStart w:id="38" w:name="bartovs2025fair-1"/>
    <w:p>
      <w:pPr>
        <w:pStyle w:val="Heading2"/>
      </w:pPr>
      <w:r>
        <w:t xml:space="preserve">2.3</w:t>
      </w:r>
      <w:r>
        <w:t xml:space="preserve"> </w:t>
      </w:r>
      <w:r>
        <w:t xml:space="preserve">Bartoš et al. (2025)</w:t>
      </w:r>
    </w:p>
    <w:p>
      <w:pPr>
        <w:numPr>
          <w:ilvl w:val="0"/>
          <w:numId w:val="1016"/>
        </w:numPr>
      </w:pPr>
      <w:r>
        <w:rPr>
          <w:rFonts w:hint="eastAsia"/>
        </w:rPr>
        <w:t xml:space="preserve">データ上で、同じ面になった回数は、178,079回</w:t>
      </w:r>
    </w:p>
    <w:p>
      <w:pPr>
        <w:numPr>
          <w:ilvl w:val="1"/>
          <w:numId w:val="1017"/>
        </w:numPr>
      </w:pPr>
      <m:oMath>
        <m:r>
          <m:t>178079</m:t>
        </m:r>
        <m:r>
          <m:rPr>
            <m:sty m:val="p"/>
          </m:rPr>
          <m:t>/</m:t>
        </m:r>
        <m:r>
          <m:t>350757</m:t>
        </m:r>
        <m:r>
          <m:rPr>
            <m:sty m:val="p"/>
          </m:rPr>
          <m:t>≈</m:t>
        </m:r>
        <m:r>
          <m:t>0.507</m:t>
        </m:r>
      </m:oMath>
    </w:p>
    <w:p>
      <w:pPr>
        <w:numPr>
          <w:ilvl w:val="1"/>
          <w:numId w:val="1017"/>
        </w:numPr>
      </w:pPr>
      <w:r>
        <w:rPr>
          <w:rFonts w:hint="eastAsia"/>
        </w:rPr>
        <w:t xml:space="preserve">同じ面が出やすい傾向</w:t>
      </w:r>
    </w:p>
    <w:p>
      <w:pPr>
        <w:numPr>
          <w:ilvl w:val="0"/>
          <w:numId w:val="1016"/>
        </w:numPr>
      </w:pPr>
      <w:r>
        <w:rPr>
          <w:rFonts w:hint="eastAsia"/>
        </w:rPr>
        <w:t xml:space="preserve">批判:</w:t>
      </w:r>
      <w:r>
        <w:t xml:space="preserve"> </w:t>
      </w:r>
      <w:r>
        <w:rPr>
          <w:rFonts w:hint="eastAsia"/>
        </w:rPr>
        <w:t xml:space="preserve">偶然であり、もう一回実験をやれば結果が変わるのでは?</w:t>
      </w:r>
    </w:p>
    <w:bookmarkEnd w:id="38"/>
    <w:bookmarkStart w:id="42" w:name="イメージ"/>
    <w:p>
      <w:pPr>
        <w:pStyle w:val="Heading2"/>
      </w:pPr>
      <w:r>
        <w:t xml:space="preserve">2.4 イメージ</w:t>
      </w:r>
    </w:p>
    <w:p>
      <w:pPr>
        <w:pStyle w:val="FirstParagraph"/>
      </w:pPr>
    </w:p>
    <w:p>
      <w:pPr>
        <w:pStyle w:val="BodyText"/>
      </w:pPr>
      <w:r>
        <w:drawing>
          <wp:inline>
            <wp:extent cx="2432304" cy="4041648"/>
            <wp:effectExtent b="0" l="0" r="0" t="0"/>
            <wp:docPr descr="" title="" id="40" name="Picture"/>
            <a:graphic>
              <a:graphicData uri="http://schemas.openxmlformats.org/drawingml/2006/picture">
                <pic:pic>
                  <pic:nvPicPr>
                    <pic:cNvPr descr="05Inference_files/figure-docx/mermaid-figure-1.png" id="41" name="Picture"/>
                    <pic:cNvPicPr>
                      <a:picLocks noChangeArrowheads="1" noChangeAspect="1"/>
                    </pic:cNvPicPr>
                  </pic:nvPicPr>
                  <pic:blipFill>
                    <a:blip r:embed="rId39"/>
                    <a:stretch>
                      <a:fillRect/>
                    </a:stretch>
                  </pic:blipFill>
                  <pic:spPr bwMode="auto">
                    <a:xfrm>
                      <a:off x="0" y="0"/>
                      <a:ext cx="2432304" cy="4041648"/>
                    </a:xfrm>
                    <a:prstGeom prst="rect">
                      <a:avLst/>
                    </a:prstGeom>
                    <a:noFill/>
                    <a:ln w="9525">
                      <a:noFill/>
                      <a:headEnd/>
                      <a:tailEnd/>
                    </a:ln>
                  </pic:spPr>
                </pic:pic>
              </a:graphicData>
            </a:graphic>
          </wp:inline>
        </w:drawing>
      </w:r>
    </w:p>
    <w:p>
      <w:pPr>
        <w:pStyle w:val="BodyText"/>
      </w:pPr>
    </w:p>
    <w:bookmarkEnd w:id="42"/>
    <w:bookmarkStart w:id="43" w:name="再現可能性"/>
    <w:p>
      <w:pPr>
        <w:pStyle w:val="Heading2"/>
      </w:pPr>
      <w:r>
        <w:t xml:space="preserve">2.5 </w:t>
      </w:r>
      <w:r>
        <w:rPr>
          <w:rFonts w:hint="eastAsia"/>
        </w:rPr>
        <w:t xml:space="preserve">再現可能性</w:t>
      </w:r>
    </w:p>
    <w:p>
      <w:pPr>
        <w:numPr>
          <w:ilvl w:val="0"/>
          <w:numId w:val="1018"/>
        </w:numPr>
      </w:pPr>
      <w:r>
        <w:rPr>
          <w:rFonts w:hint="eastAsia"/>
        </w:rPr>
        <w:t xml:space="preserve">二人が、500回コイントスを行いデータ収集</w:t>
      </w:r>
    </w:p>
    <w:p>
      <w:pPr>
        <w:numPr>
          <w:ilvl w:val="1"/>
          <w:numId w:val="1019"/>
        </w:numPr>
      </w:pPr>
      <w:r>
        <w:rPr>
          <w:rFonts w:hint="eastAsia"/>
        </w:rPr>
        <w:t xml:space="preserve">全員のデータが異なるので、結果も異なる</w:t>
      </w:r>
    </w:p>
    <w:p>
      <w:pPr>
        <w:pStyle w:val="Compact"/>
        <w:numPr>
          <w:ilvl w:val="2"/>
          <w:numId w:val="1020"/>
        </w:numPr>
      </w:pPr>
      <w:r>
        <w:rPr>
          <w:rFonts w:hint="eastAsia"/>
        </w:rPr>
        <w:t xml:space="preserve">結果が再現できないので、誰の結果も信頼できない</w:t>
      </w:r>
    </w:p>
    <w:p>
      <w:pPr>
        <w:numPr>
          <w:ilvl w:val="0"/>
          <w:numId w:val="1018"/>
        </w:numPr>
      </w:pPr>
      <w:r>
        <w:rPr>
          <w:rFonts w:hint="eastAsia"/>
        </w:rPr>
        <w:t xml:space="preserve">あくまでフィクションであることに注意</w:t>
      </w:r>
    </w:p>
    <w:p>
      <w:pPr>
        <w:pStyle w:val="Compact"/>
        <w:numPr>
          <w:ilvl w:val="1"/>
          <w:numId w:val="1021"/>
        </w:numPr>
      </w:pPr>
      <w:r>
        <w:rPr>
          <w:rFonts w:hint="eastAsia"/>
        </w:rPr>
        <w:t xml:space="preserve">本当に各人がデータを収集したのであれば、データを共有し、結合すべき</w:t>
      </w:r>
    </w:p>
    <w:bookmarkEnd w:id="43"/>
    <w:bookmarkStart w:id="44" w:name="あり得た結果"/>
    <w:p>
      <w:pPr>
        <w:pStyle w:val="Heading2"/>
      </w:pPr>
      <w:r>
        <w:t xml:space="preserve">2.6 </w:t>
      </w:r>
      <w:r>
        <w:rPr>
          <w:rFonts w:hint="eastAsia"/>
        </w:rPr>
        <w:t xml:space="preserve">あり得た結果</w:t>
      </w:r>
    </w:p>
    <w:p>
      <w:pPr>
        <w:numPr>
          <w:ilvl w:val="0"/>
          <w:numId w:val="1022"/>
        </w:numPr>
      </w:pPr>
      <w:r>
        <w:rPr>
          <w:rFonts w:hint="eastAsia"/>
        </w:rPr>
        <w:t xml:space="preserve">自身の研究目標は、基本的に「自分以外は行わない」ケースが多い</w:t>
      </w:r>
    </w:p>
    <w:p>
      <w:pPr>
        <w:numPr>
          <w:ilvl w:val="1"/>
          <w:numId w:val="1023"/>
        </w:numPr>
      </w:pPr>
      <w:r>
        <w:rPr>
          <w:rFonts w:hint="eastAsia"/>
        </w:rPr>
        <w:t xml:space="preserve">別のデータから異なる結果が得られる可能性があることを常に意識する必要がある</w:t>
      </w:r>
    </w:p>
    <w:p>
      <w:pPr>
        <w:pStyle w:val="Compact"/>
        <w:numPr>
          <w:ilvl w:val="2"/>
          <w:numId w:val="1024"/>
        </w:numPr>
      </w:pPr>
      <w:r>
        <w:rPr>
          <w:rFonts w:hint="eastAsia"/>
        </w:rPr>
        <w:t xml:space="preserve">頻度論</w:t>
      </w:r>
    </w:p>
    <w:bookmarkEnd w:id="44"/>
    <w:bookmarkStart w:id="48" w:name="イメージ-1"/>
    <w:p>
      <w:pPr>
        <w:pStyle w:val="Heading2"/>
      </w:pPr>
      <w:r>
        <w:t xml:space="preserve">2.7 イメージ</w:t>
      </w:r>
    </w:p>
    <w:p>
      <w:pPr>
        <w:pStyle w:val="FirstParagraph"/>
      </w:pPr>
    </w:p>
    <w:p>
      <w:pPr>
        <w:pStyle w:val="BodyText"/>
      </w:pPr>
      <w:r>
        <w:drawing>
          <wp:inline>
            <wp:extent cx="5334000" cy="3529383"/>
            <wp:effectExtent b="0" l="0" r="0" t="0"/>
            <wp:docPr descr="" title="" id="46" name="Picture"/>
            <a:graphic>
              <a:graphicData uri="http://schemas.openxmlformats.org/drawingml/2006/picture">
                <pic:pic>
                  <pic:nvPicPr>
                    <pic:cNvPr descr="05Inference_files/figure-docx/mermaid-figure-4.png" id="47" name="Picture"/>
                    <pic:cNvPicPr>
                      <a:picLocks noChangeArrowheads="1" noChangeAspect="1"/>
                    </pic:cNvPicPr>
                  </pic:nvPicPr>
                  <pic:blipFill>
                    <a:blip r:embed="rId45"/>
                    <a:stretch>
                      <a:fillRect/>
                    </a:stretch>
                  </pic:blipFill>
                  <pic:spPr bwMode="auto">
                    <a:xfrm>
                      <a:off x="0" y="0"/>
                      <a:ext cx="5334000" cy="3529383"/>
                    </a:xfrm>
                    <a:prstGeom prst="rect">
                      <a:avLst/>
                    </a:prstGeom>
                    <a:noFill/>
                    <a:ln w="9525">
                      <a:noFill/>
                      <a:headEnd/>
                      <a:tailEnd/>
                    </a:ln>
                  </pic:spPr>
                </pic:pic>
              </a:graphicData>
            </a:graphic>
          </wp:inline>
        </w:drawing>
      </w:r>
    </w:p>
    <w:p>
      <w:pPr>
        <w:pStyle w:val="BodyText"/>
      </w:pPr>
    </w:p>
    <w:bookmarkEnd w:id="48"/>
    <w:bookmarkStart w:id="49" w:name="統計的推論"/>
    <w:p>
      <w:pPr>
        <w:pStyle w:val="Heading2"/>
      </w:pPr>
      <w:r>
        <w:t xml:space="preserve">2.8 </w:t>
      </w:r>
      <w:r>
        <w:rPr>
          <w:rFonts w:hint="eastAsia"/>
        </w:rPr>
        <w:t xml:space="preserve">統計的推論</w:t>
      </w:r>
    </w:p>
    <w:p>
      <w:pPr>
        <w:numPr>
          <w:ilvl w:val="0"/>
          <w:numId w:val="1025"/>
        </w:numPr>
      </w:pPr>
      <w:r>
        <w:rPr>
          <w:rFonts w:hint="eastAsia"/>
        </w:rPr>
        <w:t xml:space="preserve">データから、か確実にただし結論を導くことは、</w:t>
      </w:r>
      <w:r>
        <w:rPr>
          <w:b/>
          <w:bCs/>
        </w:rPr>
        <w:t xml:space="preserve">あきらめる</w:t>
      </w:r>
    </w:p>
    <w:p>
      <w:pPr>
        <w:numPr>
          <w:ilvl w:val="0"/>
          <w:numId w:val="1025"/>
        </w:numPr>
      </w:pPr>
      <w:r>
        <w:rPr>
          <w:rFonts w:hint="eastAsia"/>
        </w:rPr>
        <w:t xml:space="preserve">データから、概ね正しい結論を導く</w:t>
      </w:r>
    </w:p>
    <w:p>
      <w:pPr>
        <w:numPr>
          <w:ilvl w:val="1"/>
          <w:numId w:val="1026"/>
        </w:numPr>
      </w:pPr>
      <w:r>
        <w:rPr>
          <w:rFonts w:hint="eastAsia"/>
        </w:rPr>
        <w:t xml:space="preserve">主張</w:t>
      </w:r>
      <w:r>
        <w:t xml:space="preserve"> </w:t>
      </w:r>
      <w:r>
        <w:rPr>
          <w:rFonts w:hint="eastAsia"/>
        </w:rPr>
        <w:t xml:space="preserve">「母集団において同じ面になる割合は、</w:t>
      </w:r>
      <w:r>
        <w:rPr>
          <w:rFonts w:hint="eastAsia"/>
          <w:b/>
          <w:bCs/>
        </w:rPr>
        <w:t xml:space="preserve">概ね(95%の確率)</w:t>
      </w:r>
      <w:r>
        <w:t xml:space="preserve"> </w:t>
      </w:r>
      <w:r>
        <w:rPr>
          <w:rFonts w:hint="eastAsia"/>
        </w:rPr>
        <w:t xml:space="preserve">信頼区間</w:t>
      </w:r>
      <w:r>
        <w:t xml:space="preserve"> </w:t>
      </w:r>
      <m:oMath>
        <m:d>
          <m:dPr>
            <m:begChr m:val="["/>
            <m:sepChr m:val=""/>
            <m:endChr m:val="]"/>
            <m:grow/>
          </m:dPr>
          <m:e>
            <m:r>
              <m:t>0.506</m:t>
            </m:r>
            <m:r>
              <m:rPr>
                <m:sty m:val="p"/>
              </m:rPr>
              <m:t>,</m:t>
            </m:r>
            <m:r>
              <m:t>0.509</m:t>
            </m:r>
          </m:e>
        </m:d>
      </m:oMath>
      <w:r>
        <w:t xml:space="preserve"> </w:t>
      </w:r>
      <w:r>
        <w:rPr>
          <w:rFonts w:hint="eastAsia"/>
        </w:rPr>
        <w:t xml:space="preserve">の間」は真</w:t>
      </w:r>
    </w:p>
    <w:p>
      <w:pPr>
        <w:numPr>
          <w:ilvl w:val="1"/>
          <w:numId w:val="1026"/>
        </w:numPr>
      </w:pPr>
      <w:r>
        <w:rPr>
          <w:rFonts w:hint="eastAsia"/>
        </w:rPr>
        <w:t xml:space="preserve">事例がランダムサンプリングされており、十分な事例数</w:t>
      </w:r>
      <w:r>
        <w:t xml:space="preserve"> </w:t>
      </w:r>
      <w:r>
        <w:rPr>
          <w:rFonts w:hint="eastAsia"/>
        </w:rPr>
        <w:t xml:space="preserve">(150事例以上)が存在することが前提</w:t>
      </w:r>
    </w:p>
    <w:bookmarkEnd w:id="49"/>
    <w:bookmarkStart w:id="50" w:name="非実用性"/>
    <w:p>
      <w:pPr>
        <w:pStyle w:val="Heading2"/>
      </w:pPr>
      <w:r>
        <w:t xml:space="preserve">2.9 </w:t>
      </w:r>
      <w:r>
        <w:rPr>
          <w:rFonts w:hint="eastAsia"/>
        </w:rPr>
        <w:t xml:space="preserve">非実用性</w:t>
      </w:r>
    </w:p>
    <w:p>
      <w:pPr>
        <w:numPr>
          <w:ilvl w:val="0"/>
          <w:numId w:val="1027"/>
        </w:numPr>
      </w:pPr>
      <w:r>
        <w:rPr>
          <w:rFonts w:hint="eastAsia"/>
        </w:rPr>
        <w:t xml:space="preserve">データ分析への活用が難しい</w:t>
      </w:r>
    </w:p>
    <w:p>
      <w:pPr>
        <w:numPr>
          <w:ilvl w:val="0"/>
          <w:numId w:val="1027"/>
        </w:numPr>
      </w:pPr>
      <w:r>
        <w:rPr>
          <w:rFonts w:hint="eastAsia"/>
        </w:rPr>
        <w:t xml:space="preserve">例:</w:t>
      </w:r>
      <w:r>
        <w:t xml:space="preserve"> </w:t>
      </w:r>
      <w:r>
        <w:rPr>
          <w:rFonts w:hint="eastAsia"/>
        </w:rPr>
        <w:t xml:space="preserve">前提</w:t>
      </w:r>
      <w:r>
        <w:t xml:space="preserve"> </w:t>
      </w:r>
      <m:oMath>
        <m:r>
          <m:rPr>
            <m:sty m:val="p"/>
          </m:rPr>
          <m:t>=</m:t>
        </m:r>
      </m:oMath>
      <w:r>
        <w:t xml:space="preserve"> </w:t>
      </w:r>
      <w:r>
        <w:rPr>
          <w:rFonts w:hint="eastAsia"/>
        </w:rPr>
        <w:t xml:space="preserve">ランダムサンプルングかつ事例数が無限大のデータから計算した平均取引価格の差は、1481万円</w:t>
      </w:r>
    </w:p>
    <w:p>
      <w:pPr>
        <w:numPr>
          <w:ilvl w:val="0"/>
          <w:numId w:val="1027"/>
        </w:numPr>
      </w:pPr>
      <w:r>
        <w:rPr>
          <w:rFonts w:hint="eastAsia"/>
        </w:rPr>
        <w:t xml:space="preserve">結論</w:t>
      </w:r>
      <w:r>
        <w:t xml:space="preserve"> </w:t>
      </w:r>
      <m:oMath>
        <m:r>
          <m:rPr>
            <m:sty m:val="p"/>
          </m:rPr>
          <m:t>=</m:t>
        </m:r>
      </m:oMath>
      <w:r>
        <w:t xml:space="preserve"> </w:t>
      </w:r>
      <w:r>
        <w:rPr>
          <w:rFonts w:hint="eastAsia"/>
        </w:rPr>
        <w:t xml:space="preserve">母集団における平均価格は1481万円</w:t>
      </w:r>
    </w:p>
    <w:p>
      <w:pPr>
        <w:pStyle w:val="Compact"/>
        <w:numPr>
          <w:ilvl w:val="1"/>
          <w:numId w:val="1028"/>
        </w:numPr>
      </w:pPr>
      <w:r>
        <w:rPr>
          <w:rFonts w:hint="eastAsia"/>
        </w:rPr>
        <w:t xml:space="preserve">一致性と呼ばれる性質</w:t>
      </w:r>
    </w:p>
    <w:p>
      <w:pPr>
        <w:numPr>
          <w:ilvl w:val="0"/>
          <w:numId w:val="1027"/>
        </w:numPr>
      </w:pPr>
      <w:r>
        <w:rPr>
          <w:rFonts w:hint="eastAsia"/>
        </w:rPr>
        <w:t xml:space="preserve">問題点:</w:t>
      </w:r>
      <w:r>
        <w:t xml:space="preserve"> </w:t>
      </w:r>
      <w:r>
        <w:rPr>
          <w:rFonts w:hint="eastAsia"/>
        </w:rPr>
        <w:t xml:space="preserve">無限大の事例数を持つデータは存在しないので、実用的ではない</w:t>
      </w:r>
    </w:p>
    <w:bookmarkEnd w:id="50"/>
    <w:bookmarkStart w:id="51" w:name="非実用的な推論"/>
    <w:p>
      <w:pPr>
        <w:pStyle w:val="Heading2"/>
      </w:pPr>
      <w:r>
        <w:t xml:space="preserve">2.10 </w:t>
      </w:r>
      <w:r>
        <w:rPr>
          <w:rFonts w:hint="eastAsia"/>
        </w:rPr>
        <w:t xml:space="preserve">非実用的な推論</w:t>
      </w:r>
    </w:p>
    <w:p>
      <w:pPr>
        <w:numPr>
          <w:ilvl w:val="0"/>
          <w:numId w:val="1029"/>
        </w:numPr>
      </w:pPr>
      <w:r>
        <w:rPr>
          <w:rFonts w:hint="eastAsia"/>
        </w:rPr>
        <w:t xml:space="preserve">例:</w:t>
      </w:r>
      <w:r>
        <w:t xml:space="preserve"> </w:t>
      </w:r>
      <w:r>
        <w:rPr>
          <w:rFonts w:hint="eastAsia"/>
        </w:rPr>
        <w:t xml:space="preserve">前提</w:t>
      </w:r>
    </w:p>
    <w:p>
      <w:pPr>
        <w:numPr>
          <w:ilvl w:val="1"/>
          <w:numId w:val="1030"/>
        </w:numPr>
      </w:pPr>
      <w:r>
        <w:t xml:space="preserve">100</w:t>
      </w:r>
      <w:r>
        <w:t xml:space="preserve"> </w:t>
      </w:r>
      <m:oMath>
        <m:r>
          <m:rPr>
            <m:sty m:val="p"/>
          </m:rPr>
          <m:t>%</m:t>
        </m:r>
      </m:oMath>
      <w:r>
        <w:t xml:space="preserve"> </w:t>
      </w:r>
      <w:r>
        <w:rPr>
          <w:rFonts w:hint="eastAsia"/>
        </w:rPr>
        <w:t xml:space="preserve">当たる予測モデルが使える</w:t>
      </w:r>
    </w:p>
    <w:p>
      <w:pPr>
        <w:numPr>
          <w:ilvl w:val="1"/>
          <w:numId w:val="1030"/>
        </w:numPr>
      </w:pPr>
      <w:r>
        <w:rPr>
          <w:rFonts w:hint="eastAsia"/>
        </w:rPr>
        <w:t xml:space="preserve">練馬区の55平米の物件の予測取引価格は、2019年は4000万、2024年は5000万</w:t>
      </w:r>
    </w:p>
    <w:p>
      <w:pPr>
        <w:numPr>
          <w:ilvl w:val="0"/>
          <w:numId w:val="1029"/>
        </w:numPr>
      </w:pPr>
      <w:r>
        <w:rPr>
          <w:rFonts w:hint="eastAsia"/>
        </w:rPr>
        <w:t xml:space="preserve">結論:</w:t>
      </w:r>
      <w:r>
        <w:t xml:space="preserve"> </w:t>
      </w:r>
      <w:r>
        <w:rPr>
          <w:rFonts w:hint="eastAsia"/>
        </w:rPr>
        <w:t xml:space="preserve">練馬区の55平米の物件は5000万円値上がりした</w:t>
      </w:r>
    </w:p>
    <w:p>
      <w:pPr>
        <w:numPr>
          <w:ilvl w:val="0"/>
          <w:numId w:val="1029"/>
        </w:numPr>
      </w:pPr>
      <w:r>
        <w:rPr>
          <w:rFonts w:hint="eastAsia"/>
        </w:rPr>
        <w:t xml:space="preserve">問題点:</w:t>
      </w:r>
      <w:r>
        <w:t xml:space="preserve"> </w:t>
      </w:r>
      <w:r>
        <w:rPr>
          <w:rFonts w:hint="eastAsia"/>
        </w:rPr>
        <w:t xml:space="preserve">確実に当たるモデルは、(社会/市場分析では)想定しずらい</w:t>
      </w:r>
    </w:p>
    <w:bookmarkEnd w:id="51"/>
    <w:bookmarkStart w:id="52" w:name="信頼区間"/>
    <w:p>
      <w:pPr>
        <w:pStyle w:val="Heading2"/>
      </w:pPr>
      <w:r>
        <w:t xml:space="preserve">2.11 </w:t>
      </w:r>
      <w:r>
        <w:rPr>
          <w:rFonts w:hint="eastAsia"/>
        </w:rPr>
        <w:t xml:space="preserve">信頼区間</w:t>
      </w:r>
    </w:p>
    <w:p>
      <w:pPr>
        <w:numPr>
          <w:ilvl w:val="0"/>
          <w:numId w:val="1031"/>
        </w:numPr>
      </w:pPr>
      <w:r>
        <w:rPr>
          <w:rFonts w:hint="eastAsia"/>
        </w:rPr>
        <w:t xml:space="preserve">データから計算される区間</w:t>
      </w:r>
    </w:p>
    <w:p>
      <w:pPr>
        <w:numPr>
          <w:ilvl w:val="1"/>
          <w:numId w:val="1032"/>
        </w:numPr>
      </w:pPr>
      <w:r>
        <w:rPr>
          <w:rFonts w:hint="eastAsia"/>
        </w:rPr>
        <w:t xml:space="preserve">同じ母集団、推定対象であったとしても、異なる区間が計算される</w:t>
      </w:r>
    </w:p>
    <w:p>
      <w:pPr>
        <w:pStyle w:val="Compact"/>
        <w:numPr>
          <w:ilvl w:val="2"/>
          <w:numId w:val="1033"/>
        </w:numPr>
      </w:pPr>
      <w:r>
        <w:rPr>
          <w:rFonts w:hint="eastAsia"/>
        </w:rPr>
        <w:t xml:space="preserve">ただし多くのデータ</w:t>
      </w:r>
      <w:r>
        <w:t xml:space="preserve"> </w:t>
      </w:r>
      <w:r>
        <w:rPr>
          <w:rFonts w:hint="eastAsia"/>
        </w:rPr>
        <w:t xml:space="preserve">(初期値では、潜在的に生成されうるデータの95</w:t>
      </w:r>
      <w:r>
        <w:t xml:space="preserve"> </w:t>
      </w:r>
      <m:oMath>
        <m:r>
          <m:rPr>
            <m:sty m:val="p"/>
          </m:rPr>
          <m:t>%</m:t>
        </m:r>
      </m:oMath>
      <w:r>
        <w:t xml:space="preserve">) </w:t>
      </w:r>
      <w:r>
        <w:rPr>
          <w:rFonts w:hint="eastAsia"/>
        </w:rPr>
        <w:t xml:space="preserve">について、推定対象を含む区間を掲載できる</w:t>
      </w:r>
    </w:p>
    <w:bookmarkEnd w:id="52"/>
    <w:bookmarkStart w:id="56" w:name="統計的推論のイメージ"/>
    <w:p>
      <w:pPr>
        <w:pStyle w:val="Heading2"/>
      </w:pPr>
      <w:r>
        <w:t xml:space="preserve">2.12 </w:t>
      </w:r>
      <w:r>
        <w:rPr>
          <w:rFonts w:hint="eastAsia"/>
        </w:rPr>
        <w:t xml:space="preserve">統計的推論のイメージ</w:t>
      </w:r>
    </w:p>
    <w:p>
      <w:pPr>
        <w:pStyle w:val="FirstParagraph"/>
      </w:pPr>
    </w:p>
    <w:p>
      <w:pPr>
        <w:pStyle w:val="BodyText"/>
      </w:pPr>
      <w:r>
        <w:drawing>
          <wp:inline>
            <wp:extent cx="2889504" cy="4041648"/>
            <wp:effectExtent b="0" l="0" r="0" t="0"/>
            <wp:docPr descr="" title="" id="54" name="Picture"/>
            <a:graphic>
              <a:graphicData uri="http://schemas.openxmlformats.org/drawingml/2006/picture">
                <pic:pic>
                  <pic:nvPicPr>
                    <pic:cNvPr descr="05Inference_files/figure-docx/mermaid-figure-3.png" id="55" name="Picture"/>
                    <pic:cNvPicPr>
                      <a:picLocks noChangeArrowheads="1" noChangeAspect="1"/>
                    </pic:cNvPicPr>
                  </pic:nvPicPr>
                  <pic:blipFill>
                    <a:blip r:embed="rId53"/>
                    <a:stretch>
                      <a:fillRect/>
                    </a:stretch>
                  </pic:blipFill>
                  <pic:spPr bwMode="auto">
                    <a:xfrm>
                      <a:off x="0" y="0"/>
                      <a:ext cx="2889504" cy="4041648"/>
                    </a:xfrm>
                    <a:prstGeom prst="rect">
                      <a:avLst/>
                    </a:prstGeom>
                    <a:noFill/>
                    <a:ln w="9525">
                      <a:noFill/>
                      <a:headEnd/>
                      <a:tailEnd/>
                    </a:ln>
                  </pic:spPr>
                </pic:pic>
              </a:graphicData>
            </a:graphic>
          </wp:inline>
        </w:drawing>
      </w:r>
    </w:p>
    <w:p>
      <w:pPr>
        <w:pStyle w:val="BodyText"/>
      </w:pPr>
    </w:p>
    <w:bookmarkEnd w:id="56"/>
    <w:bookmarkStart w:id="60" w:name="統計的推論のイメージ-1"/>
    <w:p>
      <w:pPr>
        <w:pStyle w:val="Heading2"/>
      </w:pPr>
      <w:r>
        <w:t xml:space="preserve">2.13 </w:t>
      </w:r>
      <w:r>
        <w:rPr>
          <w:rFonts w:hint="eastAsia"/>
        </w:rPr>
        <w:t xml:space="preserve">統計的推論のイメージ</w:t>
      </w:r>
    </w:p>
    <w:p>
      <w:pPr>
        <w:pStyle w:val="FirstParagraph"/>
      </w:pPr>
    </w:p>
    <w:p>
      <w:pPr>
        <w:pStyle w:val="BodyText"/>
      </w:pPr>
      <w:r>
        <w:drawing>
          <wp:inline>
            <wp:extent cx="5334000" cy="2497421"/>
            <wp:effectExtent b="0" l="0" r="0" t="0"/>
            <wp:docPr descr="" title="" id="58" name="Picture"/>
            <a:graphic>
              <a:graphicData uri="http://schemas.openxmlformats.org/drawingml/2006/picture">
                <pic:pic>
                  <pic:nvPicPr>
                    <pic:cNvPr descr="05Inference_files/figure-docx/mermaid-figure-2.png" id="59" name="Picture"/>
                    <pic:cNvPicPr>
                      <a:picLocks noChangeArrowheads="1" noChangeAspect="1"/>
                    </pic:cNvPicPr>
                  </pic:nvPicPr>
                  <pic:blipFill>
                    <a:blip r:embed="rId57"/>
                    <a:stretch>
                      <a:fillRect/>
                    </a:stretch>
                  </pic:blipFill>
                  <pic:spPr bwMode="auto">
                    <a:xfrm>
                      <a:off x="0" y="0"/>
                      <a:ext cx="5334000" cy="2497421"/>
                    </a:xfrm>
                    <a:prstGeom prst="rect">
                      <a:avLst/>
                    </a:prstGeom>
                    <a:noFill/>
                    <a:ln w="9525">
                      <a:noFill/>
                      <a:headEnd/>
                      <a:tailEnd/>
                    </a:ln>
                  </pic:spPr>
                </pic:pic>
              </a:graphicData>
            </a:graphic>
          </wp:inline>
        </w:drawing>
      </w:r>
    </w:p>
    <w:p>
      <w:pPr>
        <w:pStyle w:val="BodyText"/>
      </w:pPr>
    </w:p>
    <w:bookmarkEnd w:id="60"/>
    <w:bookmarkStart w:id="67" w:name="データ"/>
    <w:p>
      <w:pPr>
        <w:pStyle w:val="Heading2"/>
      </w:pPr>
      <w:r>
        <w:t xml:space="preserve">2.14 データ</w:t>
      </w:r>
    </w:p>
    <w:p>
      <w:pPr>
        <w:pStyle w:val="FirstParagraph"/>
      </w:pPr>
      <w:r>
        <w:drawing>
          <wp:inline>
            <wp:extent cx="5334000" cy="4267200"/>
            <wp:effectExtent b="0" l="0" r="0" t="0"/>
            <wp:docPr descr="" title="" id="62" name="Picture"/>
            <a:graphic>
              <a:graphicData uri="http://schemas.openxmlformats.org/drawingml/2006/picture">
                <pic:pic>
                  <pic:nvPicPr>
                    <pic:cNvPr descr="05Inference_files/figure-docx/unnamed-chunk-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bookmarkStart w:id="66" w:name="refs"/>
    <w:bookmarkStart w:id="64" w:name="ref-bartovs2025fair"/>
    <w:p>
      <w:pPr>
        <w:pStyle w:val="Bibliography"/>
      </w:pPr>
      <w:r>
        <w:t xml:space="preserve">Bartoš, František, Alexandra Sarafoglou, Henrik R Godmann, Amir Sahrani, David Klein Leunk, Pierre Y Gui, David Voss, et al. 2025.</w:t>
      </w:r>
      <w:r>
        <w:t xml:space="preserve"> </w:t>
      </w:r>
      <w:r>
        <w:t xml:space="preserve">“Fair Coins Tend to Land on the Same Side They Started: Evidence from 350,757 Flips.”</w:t>
      </w:r>
      <w:r>
        <w:t xml:space="preserve"> </w:t>
      </w:r>
      <w:r>
        <w:rPr>
          <w:i/>
          <w:iCs/>
        </w:rPr>
        <w:t xml:space="preserve">Journal of the American Statistical Association</w:t>
      </w:r>
      <w:r>
        <w:t xml:space="preserve">, 1–10.</w:t>
      </w:r>
    </w:p>
    <w:bookmarkEnd w:id="64"/>
    <w:bookmarkStart w:id="65" w:name="ref-narayanan2024ai"/>
    <w:p>
      <w:pPr>
        <w:pStyle w:val="Bibliography"/>
      </w:pPr>
      <w:r>
        <w:t xml:space="preserve">Narayanan, Arvind, and Sayash Kapoor. 2024.</w:t>
      </w:r>
      <w:r>
        <w:t xml:space="preserve"> </w:t>
      </w:r>
      <w:r>
        <w:t xml:space="preserve">“AI Snake Oil: What Artificial Intelligence Can Do, What It Can’t, and How to Tell the Difference.”</w:t>
      </w:r>
      <w:r>
        <w:t xml:space="preserve"> </w:t>
      </w:r>
      <w:r>
        <w:t xml:space="preserve">In</w:t>
      </w:r>
      <w:r>
        <w:t xml:space="preserve"> </w:t>
      </w:r>
      <w:r>
        <w:rPr>
          <w:i/>
          <w:iCs/>
        </w:rPr>
        <w:t xml:space="preserve">AI Snake Oil</w:t>
      </w:r>
      <w:r>
        <w:t xml:space="preserve">. Princeton University Press.</w:t>
      </w:r>
    </w:p>
    <w:bookmarkEnd w:id="65"/>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5" Target="media/rId45.png" /><Relationship Type="http://schemas.openxmlformats.org/officeDocument/2006/relationships/image" Id="rId61" Target="media/rId61.png" /><Relationship Type="http://schemas.openxmlformats.org/officeDocument/2006/relationships/image" Id="rId20" Target="media/rId20.svg" /><Relationship Type="http://schemas.openxmlformats.org/officeDocument/2006/relationships/image" Id="rId24" Target="media/rId24.svg" /><Relationship Type="http://schemas.openxmlformats.org/officeDocument/2006/relationships/hyperlink" Id="rId29" Target="https://corp.skylark.co.jp/ir/strategy/growth/" TargetMode="External" /><Relationship Type="http://schemas.openxmlformats.org/officeDocument/2006/relationships/hyperlink" Id="rId36" Target="https://www.youtube.com/watch?v=3xNg51mv-fk" TargetMode="External" /><Relationship Type="http://schemas.openxmlformats.org/officeDocument/2006/relationships/hyperlink" Id="rId30" Target="https://www5.cao.go.jp/keizai3/whitepaper.html" TargetMode="External" /></Relationships>
</file>

<file path=word/_rels/footnotes.xml.rels><?xml version="1.0" encoding="UTF-8"?><Relationships xmlns="http://schemas.openxmlformats.org/package/2006/relationships"><Relationship Type="http://schemas.openxmlformats.org/officeDocument/2006/relationships/hyperlink" Id="rId29" Target="https://corp.skylark.co.jp/ir/strategy/growth/" TargetMode="External" /><Relationship Type="http://schemas.openxmlformats.org/officeDocument/2006/relationships/hyperlink" Id="rId36" Target="https://www.youtube.com/watch?v=3xNg51mv-fk" TargetMode="External" /><Relationship Type="http://schemas.openxmlformats.org/officeDocument/2006/relationships/hyperlink" Id="rId30" Target="https://www5.cao.go.jp/keizai3/whitepap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統計的性質</dc:title>
  <dc:creator>川田恵介</dc:creator>
  <cp:keywords/>
  <dcterms:created xsi:type="dcterms:W3CDTF">2025-10-04T18:46:30Z</dcterms:created>
  <dcterms:modified xsi:type="dcterms:W3CDTF">2025-10-04T18:46:30Z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ref.bib</vt:lpwstr>
  </property>
  <property fmtid="{D5CDD505-2E9C-101B-9397-08002B2CF9AE}" pid="6" name="bibliographystyle">
    <vt:lpwstr>harvard-cite-them-right</vt:lpwstr>
  </property>
  <property fmtid="{D5CDD505-2E9C-101B-9397-08002B2CF9AE}" pid="7" name="by-affiliation">
    <vt:lpwstr/>
  </property>
  <property fmtid="{D5CDD505-2E9C-101B-9397-08002B2CF9AE}" pid="8" name="by-author">
    <vt:lpwstr/>
  </property>
  <property fmtid="{D5CDD505-2E9C-101B-9397-08002B2CF9AE}" pid="9" name="date">
    <vt:lpwstr>2025-10-05</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機械学習</vt:lpwstr>
  </property>
  <property fmtid="{D5CDD505-2E9C-101B-9397-08002B2CF9AE}" pid="16" name="toc-title">
    <vt:lpwstr>Table of contents</vt:lpwstr>
  </property>
</Properties>
</file>