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tecnico per lo sviluppo di ListaViva</w:t>
      </w:r>
    </w:p>
    <w:p>
      <w:r>
        <w:t>Architettura, strumenti, sincronizzazione, sicurezza e piano di realizzazione  |  24 settembre 2026</w:t>
      </w:r>
    </w:p>
    <w:p>
      <w:r>
        <w:t>Destinatario: Matteo Severgnini  •  Base: Business Plan e PRD ListaViva v0.1 del 12 luglio 2026</w:t>
      </w:r>
    </w:p>
    <w:p>
      <w:pPr>
        <w:pStyle w:val="Heading1"/>
      </w:pPr>
      <w:r>
        <w:t>Decisione tecnica</w:t>
      </w:r>
    </w:p>
    <w:p>
      <w:r>
        <w:t>Per il primo rilascio consiglio Expo e React Native per iOS e Android, NestJS per una sola API modulare, PostgreSQL come fonte autorevole, Drizzle per schema e migrazioni, Supabase Auth per il login, SQLite sul dispositivo per lista e coda offline. Gli aggiornamenti condivisi passano inizialmente da un canale WebSocket con recupero delle modifiche via API; le notifiche sono successive alla sincronizzazione stabile. Questa scelta segue il PRD, che richiede operazioni rapide, liste condivise e suggerimenti spiegabili [P].</w:t>
      </w:r>
    </w:p>
    <w:p>
      <w:r>
        <w:t>Il rischio tecnico principale non è il volume di traffico: è creare doppioni, perdere modifiche offline o mostrare a un membro i dati di un altro nucleo. Il primo traguardo è quindi una vertical slice verificabile: login → nucleo → invito → aggiunta e check offline → riconnessione di due dispositivi → chiusura lista → storico.</w:t>
      </w:r>
    </w:p>
    <w:p>
      <w:pPr>
        <w:pStyle w:val="Heading1"/>
      </w:pPr>
      <w:r>
        <w:t>1  Ambito e criteri di scelta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968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Da realizzare</w:t>
            </w:r>
          </w:p>
        </w:tc>
        <w:tc>
          <w:tcPr>
            <w:tcW w:type="dxa" w:w="3672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Rinviato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MVP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Nuclei, inviti, più liste, item, autocomplete domestico, offline, sync, acquisti e suggerimenti semplici</w:t>
            </w:r>
          </w:p>
        </w:tc>
        <w:tc>
          <w:tcPr>
            <w:tcW w:type="dxa" w:w="3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OCR, barcode, ricette, calorie, integrazioni retailer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V1</w:t>
            </w:r>
          </w:p>
        </w:tc>
        <w:tc>
          <w:tcPr>
            <w:tcW w:type="dxa" w:w="4968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Stock stimato con confidenza; quantità e scadenze solo se verificate</w:t>
            </w:r>
          </w:p>
        </w:tc>
        <w:tc>
          <w:tcPr>
            <w:tcW w:type="dxa" w:w="36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Inventario obbligatorio o scadenze inferite come certezze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V2 e V3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Acquisizione semiautomatica e benessere con consenso dedicato</w:t>
            </w:r>
          </w:p>
        </w:tc>
        <w:tc>
          <w:tcPr>
            <w:tcW w:type="dxa" w:w="36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Modelli AI e cataloghi globali nel percorso critico</w:t>
            </w:r>
          </w:p>
        </w:tc>
      </w:tr>
    </w:tbl>
    <w:p>
      <w:pPr>
        <w:spacing w:after="40"/>
      </w:pPr>
    </w:p>
    <w:p>
      <w:r>
        <w:t>Le durate nel PRD sono indicative e part time: Foundation 2–3 settimane, Core list 5–8, Smart layer 3–5 e beta 4–6 [P]. Il report considera un founder sviluppatore con esperienza Java/Spring che vuole consolidare TypeScript e React. Next.js serve solo a landing e waitlist all’inizio; una console amministrativa nasce quando c’è un bisogno operativo reale.</w:t>
      </w:r>
    </w:p>
    <w:p>
      <w:pPr>
        <w:pStyle w:val="Heading1"/>
      </w:pPr>
      <w:r>
        <w:t>2  Stack raccomandato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512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3456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Scelta concreta</w:t>
            </w:r>
          </w:p>
        </w:tc>
        <w:tc>
          <w:tcPr>
            <w:tcW w:type="dxa" w:w="4824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Perché e limite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Mobile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React Native + Expo, TypeScript, Expo Router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Condivisione di codice iOS/Android; usare development build per funzioni native e push [1].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UI e stato</w:t>
            </w:r>
          </w:p>
        </w:tc>
        <w:tc>
          <w:tcPr>
            <w:tcW w:type="dxa" w:w="34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Componenti propri, TanStack Query per cache server, Zod per input</w:t>
            </w:r>
          </w:p>
        </w:tc>
        <w:tc>
          <w:tcPr>
            <w:tcW w:type="dxa" w:w="48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Tenere la coda offline separata dalla cache e validare anche sul server.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Offline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expo-sqlite per viste e operazioni; SecureStore per token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SQLite persiste ai riavvii [2]; SecureStore protegge le credenziali, non è il database [3].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API</w:t>
            </w:r>
          </w:p>
        </w:tc>
        <w:tc>
          <w:tcPr>
            <w:tcW w:type="dxa" w:w="34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NestJS REST + gateway WebSocket</w:t>
            </w:r>
          </w:p>
        </w:tc>
        <w:tc>
          <w:tcPr>
            <w:tcW w:type="dxa" w:w="48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Moduli e dependency injection affini a Spring; REST rimane il percorso di recupero.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Persistenza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PostgreSQL gestito + Drizzle Kit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Vincoli relazionali, transazioni e migrazioni SQL revisionabili [4].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Identità</w:t>
            </w:r>
          </w:p>
        </w:tc>
        <w:tc>
          <w:tcPr>
            <w:tcW w:type="dxa" w:w="34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Supabase Auth</w:t>
            </w:r>
          </w:p>
        </w:tc>
        <w:tc>
          <w:tcPr>
            <w:tcW w:type="dxa" w:w="48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Gestione sessioni delegata; autorizzazione household resta nel backend [5].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Distribuzione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EAS Build e Update; API container su Render; DB Supabase</w:t>
            </w:r>
          </w:p>
        </w:tc>
        <w:tc>
          <w:tcPr>
            <w:tcW w:type="dxa" w:w="48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Percorso di deploy relativamente semplice; prezzi, residenza dati e SLA da confermare.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Qualità</w:t>
            </w:r>
          </w:p>
        </w:tc>
        <w:tc>
          <w:tcPr>
            <w:tcW w:type="dxa" w:w="34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GitHub Actions, Vitest, Supertest, Maestro, Sentry</w:t>
            </w:r>
          </w:p>
        </w:tc>
        <w:tc>
          <w:tcPr>
            <w:tcW w:type="dxa" w:w="482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CI, test del protocollo, flussi su dispositivi ed errori in produzione.</w:t>
            </w:r>
          </w:p>
        </w:tc>
      </w:tr>
    </w:tbl>
    <w:p>
      <w:pPr>
        <w:spacing w:after="40"/>
      </w:pPr>
    </w:p>
    <w:p>
      <w:r>
        <w:t>Drizzle è una decisione pratica, non un vincolo irreversibile. Un breve spike sulle tre query più importanti (lista con item, storico frequenze, sync dal cursore) deve confermare ergonomia e prestazioni. Prisma rimane un’alternativa valida, ma per questo dominio i vincoli SQL e le migrazioni facilmente ispezionabili rendono Drizzle preferibile. Bloccare le versioni principali delle dipendenze e aggiornare seguendo changelog e test: le API cambiano nel tempo.</w:t>
      </w:r>
    </w:p>
    <w:p>
      <w:pPr>
        <w:pStyle w:val="Heading1"/>
      </w:pPr>
      <w:r>
        <w:t>3  Confini e flusso dei dati</w:t>
      </w:r>
    </w:p>
    <w:p>
      <w:r>
        <w:t>Il monolite espone moduli Identity, Household, Shopping, Catalog, Purchase, Suggestions e Notifications. Ogni comando muta i dati tramite il modulo proprietario; una transazione scrive la modifica e l’evento di dominio nello stesso database. Un worker in processo separato può elaborare reminder e ricalcolo suggerimenti dopo la beta; prima basta un job pianificato idempotente. Nessuna seconda banca dati è necessaria nel MVP.</w:t>
      </w:r>
    </w:p>
    <w:p>
      <w:pPr>
        <w:pStyle w:val="ListBullet"/>
        <w:spacing w:after="60"/>
      </w:pPr>
      <w:r>
        <w:t>Il telefono scrive l’operazione in SQLite e aggiorna subito la vista locale; invia il comando quando la rete è disponibile.</w:t>
      </w:r>
    </w:p>
    <w:p>
      <w:pPr>
        <w:pStyle w:val="ListBullet"/>
        <w:spacing w:after="60"/>
      </w:pPr>
      <w:r>
        <w:t>L’API verifica il token, risolve user e household attivo, controlla la membership in ogni comando, applica la mutazione e restituisce revisione e stato canonico.</w:t>
      </w:r>
    </w:p>
    <w:p>
      <w:pPr>
        <w:pStyle w:val="ListBullet"/>
        <w:spacing w:after="60"/>
      </w:pPr>
      <w:r>
        <w:t>Il server pubblica un avviso di cambiamento ai client collegati. Questi recuperano via GET /households/{id}/changes?after=cursor le modifiche non ancora viste. Il push è un segnale, non l’unica fonte di verità.</w:t>
      </w:r>
    </w:p>
    <w:p>
      <w:pPr>
        <w:pStyle w:val="Heading1"/>
      </w:pPr>
      <w:r>
        <w:t>4  Protocollo offline e conflitti</w:t>
      </w:r>
    </w:p>
    <w:p>
      <w:r>
        <w:t>Usare identificatori UUID generati dal client per gli item nuovi e un operation_id univoco per ogni comando. Su PostgreSQL imporre UNIQUE(user_id, operation_id), conservando l’esito della prima applicazione: un retry deve ricevere lo stesso risultato. La retention delle chiavi deve coprire il massimo periodo offline supportato; nella beta fissare esplicitamente 30 giorni e gestire una coda più vecchia con riconciliazione guidata.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4032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Semantica server</w:t>
            </w:r>
          </w:p>
        </w:tc>
        <w:tc>
          <w:tcPr>
            <w:tcW w:type="dxa" w:w="4104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Conflitto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Add item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Normalizza alias household; inserisce o propone fusione se prodotto equivalente già presente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Non fondere automaticamente note, unità o quantità incompatibili.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Check item</w:t>
            </w:r>
          </w:p>
        </w:tc>
        <w:tc>
          <w:tcPr>
            <w:tcW w:type="dxa" w:w="403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Set purchased / unpurchased esplicito, con attore e timestamp server</w:t>
            </w:r>
          </w:p>
        </w:tc>
        <w:tc>
          <w:tcPr>
            <w:tcW w:type="dxa" w:w="41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Ritrasmissione della stessa operazione innocua; undo è nuovo comando.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Quantità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Incremento/decremento atomico; set assoluto con expected_version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Delta indipendenti si sommano; set obsoleto riceve 409 e stato corrente.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Note e categoria</w:t>
            </w:r>
          </w:p>
        </w:tc>
        <w:tc>
          <w:tcPr>
            <w:tcW w:type="dxa" w:w="403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Patch per campo con expected_version</w:t>
            </w:r>
          </w:p>
        </w:tc>
        <w:tc>
          <w:tcPr>
            <w:tcW w:type="dxa" w:w="410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Su collisione mostra valore server e consenti scelta o retry.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Chiusura lista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Transazione che marca la lista e crea PurchaseEvent una volta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Un vincolo univoco impedisce acquisti doppi; edit successivi espliciti.</w:t>
            </w:r>
          </w:p>
        </w:tc>
      </w:tr>
    </w:tbl>
    <w:p>
      <w:pPr>
        <w:spacing w:after="40"/>
      </w:pPr>
    </w:p>
    <w:p>
      <w:r>
        <w:t>La tabella household_change assegna un sequence bigint crescente nel database per household; ogni risposta e notifica porta il cursore. Alla riconnessione: upload della coda in ordine causale, poi download di cambiamenti dal cursore e sostituzione delle viste locali con lo stato canonico. Se il cursore è scaduto, scaricare uno snapshot completo. Definire da subito il contratto dei comandi e gli errori 409/403; WebSocket non risolve conflitti da solo. Il requisito di percezione sotto 300 ms è ottenuto dalla UI ottimistica, non promette un round trip server sotto 300 ms [P].</w:t>
      </w:r>
    </w:p>
    <w:p>
      <w:pPr>
        <w:pStyle w:val="Heading1"/>
      </w:pPr>
      <w:r>
        <w:t>5  Schema dati minimo</w:t>
      </w:r>
    </w:p>
    <w:p>
      <w:r>
        <w:t>Tabelle: users (auth_subject), households, memberships, invites (hash del token, scadenza, usi), shopping_lists, list_items, household_products (alias normalizzato), purchase_events, operations (deduplica), household_changes (sync), suggestion_feedback. Il catalogo globale è opzionale. Su tutte le tabelle di dati domestici indicizzare household_id e le chiavi di query; UNIQUE(household_id, list_id, normalized_label) solo se la logica di quantità e unità consente davvero la fusione. Usare foreign key e cancellazioni esplicite, senza cascade indiscriminato sullo storico.</w:t>
      </w:r>
    </w:p>
    <w:p>
      <w:r>
        <w:t>Ogni endpoint ricava household_id dall’oggetto richiesto e verifica membership attiva. I ruoli owner e member controllano inviti, rimozione e trasferimento. Una membership rimossa invalida la possibilità di ottenere cambiamenti o di pubblicare comandi anche se il client conserva dati offline; al logout o all’uscita dal nucleo va svuotata la cache locale pertinente. Test automatici con due utenti e due nuclei sono un gate di rilascio.</w:t>
      </w:r>
    </w:p>
    <w:p>
      <w:pPr>
        <w:pStyle w:val="Heading1"/>
      </w:pPr>
      <w:r>
        <w:t>6  Suggerimenti e telemetria</w:t>
      </w:r>
    </w:p>
    <w:p>
      <w:r>
        <w:t>Una volta che esistono almeno tre acquisti indipendenti di un prodotto, calcolare mediana degli intervalli, dispersione e giorni dall’ultimo evento. Applicare una soglia conservativa; “sempre in casa” può alzare la priorità, mentre snooze, stock confermato e “mai più” sopprimono l’output. Salvare per ogni suggerimento rule_version, segnali, spiegazione e decisione per riprodurre gli errori. I prodotti acquistati più volte nella stessa lista non devono contare come più occasioni.</w:t>
      </w:r>
    </w:p>
    <w:p>
      <w:r>
        <w:t>Gli eventi di prodotto devono avere id deduplicato, timestamp server, household e tipo, con payload ridotto. Registrare household attivi, activation, retention W4, tempo per item recente, tasso di suggerimenti aggiunti e “mai più”, secondo i target del PRD [P]. Non riversare testi di prodotti e preferenze nei sistemi di analytics terzi; per i funnel bastano identificatori pseudonimi e attributi essenziali. I calcoli dei suggerimenti si possono eseguire ogni notte e dopo una lista completata, senza LLM o infrastruttura ML.</w:t>
      </w:r>
    </w:p>
    <w:p>
      <w:pPr>
        <w:pStyle w:val="Heading1"/>
      </w:pPr>
      <w:r>
        <w:t>7  Sicurezza e dati personali</w:t>
      </w:r>
    </w:p>
    <w:p>
      <w:pPr>
        <w:pStyle w:val="ListBullet"/>
        <w:spacing w:after="60"/>
      </w:pPr>
      <w:r>
        <w:t>Token in SecureStore; database locale protetto dal dispositivo e, se la minaccia lo richiede, valutare cifratura delle tabelle e testare backup, logout e cambio account. SQLite da solo non garantisce cifratura.</w:t>
      </w:r>
    </w:p>
    <w:p>
      <w:pPr>
        <w:pStyle w:val="ListBullet"/>
        <w:spacing w:after="60"/>
      </w:pPr>
      <w:r>
        <w:t>TLS, segreti in variabili protette, verifica firma, issuer e audience dei JWT; preferire chiavi asimmetriche e JWKS quando configurate, oppure verifica server presso l’identity provider secondo il metodo documentato [5].</w:t>
      </w:r>
    </w:p>
    <w:p>
      <w:pPr>
        <w:pStyle w:val="ListBullet"/>
        <w:spacing w:after="60"/>
      </w:pPr>
      <w:r>
        <w:t>Rate limit su login, inviti e ricerca; inviti a scadenza, token casuali ad alta entropia e hash nel database; audit di accessi e operazioni amministrative.</w:t>
      </w:r>
    </w:p>
    <w:p>
      <w:pPr>
        <w:pStyle w:val="ListBullet"/>
        <w:spacing w:after="60"/>
      </w:pPr>
      <w:r>
        <w:t>Export e cancellazione del nucleo/account con regole per i membri rimasti, retention definita per eventi e backup, e ripristino provato. Log privi di contenuti di lista e dati alimentari.</w:t>
      </w:r>
    </w:p>
    <w:p>
      <w:pPr>
        <w:pStyle w:val="ListBullet"/>
        <w:spacing w:after="60"/>
      </w:pPr>
      <w:r>
        <w:t>Benessere, allergie e condizioni cliniche restano fuori dal MVP; prima di introdurli servono finalità, consenso e valutazione giuridica separati. Privacy by design si applica dall’inizio [6].</w:t>
      </w:r>
    </w:p>
    <w:p>
      <w:r>
        <w:t>Per la fase V1 memorizzare distintamente fonte della data, tipo “da consumarsi entro” o “preferibilmente entro”, quantità e timestamp di conferma. Lo stock stimato non produce avvisi che attestino sicurezza alimentare. La scelta di regione e fornitori, così come gli accordi sul trattamento, richiede verifica prima della beta pubblica.</w:t>
      </w:r>
    </w:p>
    <w:p>
      <w:pPr>
        <w:pStyle w:val="Heading1"/>
      </w:pPr>
      <w:r>
        <w:t>8  Strumenti di lavoro e test essenziali</w:t>
      </w:r>
    </w:p>
    <w:p>
      <w:r>
        <w:t>Monorepo pnpm con apps/mobile, apps/api, apps/landing e packages/contracts. Contratti OpenAPI generati dall’API e client tipizzato; evitare di condividere oggetti ORM con il mobile. GitHub Actions esegue lint, typecheck, test, controllo delle migrazioni e build. Ambienti local, staging e production separati; database staging con dati sintetici. Feature flag per suggerimenti, notifiche e premium.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7776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Prova prima della beta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Unit e integrazione</w:t>
            </w:r>
          </w:p>
        </w:tc>
        <w:tc>
          <w:tcPr>
            <w:tcW w:type="dxa" w:w="77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Scoring su sequenze irregolari e feedback; vincoli transazionali su completamento lista; idempotenza dello stesso operation_id.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Protocollo</w:t>
            </w:r>
          </w:p>
        </w:tc>
        <w:tc>
          <w:tcPr>
            <w:tcW w:type="dxa" w:w="777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Due dispositivi: add/check simultanei, offline prolungato, quantità concorrenti, retry, snapshot dopo cursore scaduto.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Sicurezza</w:t>
            </w:r>
          </w:p>
        </w:tc>
        <w:tc>
          <w:tcPr>
            <w:tcW w:type="dxa" w:w="77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ID di nucleo manipolato, invito scaduto, membro rimosso, export e cancellazione.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Esperienza</w:t>
            </w:r>
          </w:p>
        </w:tc>
        <w:tc>
          <w:tcPr>
            <w:tcW w:type="dxa" w:w="777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Misura reale su dispositivi medi: add item recente, modalità spesa, lettore schermo e caratteri ingranditi.</w:t>
            </w:r>
          </w:p>
        </w:tc>
      </w:tr>
    </w:tbl>
    <w:p>
      <w:pPr>
        <w:spacing w:after="40"/>
      </w:pPr>
    </w:p>
    <w:p>
      <w:r>
        <w:t>Sentry o equivalente raccoglie crash e tracce con redazione dei payload. Monitorare latenza API, errori 4xx/5xx, dimensione coda offline, conflitti per 1000 operazioni, ritardo del worker e successo dei job. Backups automatici e prova di restore precedono la beta pubblica.</w:t>
      </w:r>
    </w:p>
    <w:p>
      <w:pPr>
        <w:pStyle w:val="Heading1"/>
      </w:pPr>
      <w:r>
        <w:t>9  Costi e monetizzazione</w:t>
      </w:r>
    </w:p>
    <w:p>
      <w:r>
        <w:t>Ordine di grandezza per un’alpha: un backend always on e un PostgreSQL gestito possono partire da alcune decine di euro al mese, oltre a dominio, email transazionali e build. Supabase Pro è pubblicato a 25 USD/mese [7]; un riferimento Render del luglio 2026 indicava circa 13 USD/mese per servizio Starter + database base [8]. Sono esempi non sommabili automaticamente: la proposta qui usa Supabase per database e auth, più un servizio API, e il costo reale dipende da piano, regione, egress, backup e utilizzo. Non allocare nel modello economico 12.000 €/anno soltanto a server: comprendono anche design, supporto, privacy e marketing [P].</w:t>
      </w:r>
    </w:p>
    <w:p>
      <w:r>
        <w:t>Per la pubblicazione Apple indica 99 USD/anno; Google Play una registrazione una tantum di 25 USD [9][10]. Per Plus Household 24,99–34,99 €/anno, modellare commissioni store, imposte e refund: Apple Small Business può applicare il 15% se si è ammessi; Google indica il 15% per abbonamenti autorinnovabili, ma regole e programmi nel SEE richiedono controllo al momento del lancio [9][11]. Il titolare dell’entitlement è household_id, con owner pagante e trasferimento ownership gestito. Rimandare l’integrazione di acquisto a quando la retention W8 e l’interesse per premium siano validati [P].</w:t>
      </w:r>
    </w:p>
    <w:p>
      <w:pPr>
        <w:pStyle w:val="Heading1"/>
      </w:pPr>
      <w:r>
        <w:t>10  Sequenza operativa e criteri di uscita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Traguardo</w:t>
            </w:r>
          </w:p>
        </w:tc>
        <w:tc>
          <w:tcPr>
            <w:tcW w:type="dxa" w:w="4392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Output verificabile</w:t>
            </w:r>
          </w:p>
        </w:tc>
        <w:tc>
          <w:tcPr>
            <w:tcW w:type="dxa" w:w="3744"/>
            <w:vAlign w:val="center"/>
            <w:shd w:fill="24384A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0  Discovery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Prototipo quattro flussi, 15–20 interviste, landing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L’uso condiviso risolve un problema ricorrente.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1  Vertical slice</w:t>
            </w:r>
          </w:p>
        </w:tc>
        <w:tc>
          <w:tcPr>
            <w:tcW w:type="dxa" w:w="439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Auth, membership, item, SQLite, sync di due telefoni</w:t>
            </w:r>
          </w:p>
        </w:tc>
        <w:tc>
          <w:tcPr>
            <w:tcW w:type="dxa" w:w="374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Zero duplicati nei retry e nessuna lettura tra nuclei.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2  Alpha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Storico, autocomplete, modalità spesa, accessibilità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Almeno 30% dei nuclei usa la lista 3 settimane su 4 [P].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3  Smart beta</w:t>
            </w:r>
          </w:p>
        </w:tc>
        <w:tc>
          <w:tcPr>
            <w:tcW w:type="dxa" w:w="439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Regole deterministiche, spiegazione e feedback</w:t>
            </w:r>
          </w:p>
        </w:tc>
        <w:tc>
          <w:tcPr>
            <w:tcW w:type="dxa" w:w="374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Accettazione ≥25%, “mai più” &lt;10% [P].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4  Pubblico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Privacy e cancellazione, restore, alert e supporto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  <w:insideH w:val="single" w:color="D9D9D9" w:sz="4"/>
              <w:insideV w:val="single" w:color="D9D9D9" w:sz="4"/>
            </w:tcBorders>
          </w:tcPr>
          <w:p>
            <w:pPr>
              <w:spacing w:after="0"/>
            </w:pPr>
            <w:r>
              <w:rPr>
                <w:color w:val="232B32"/>
                <w:sz w:val="16"/>
              </w:rPr>
              <w:t>Incidenti gestibili e W4 ≥25% come target indicativo [P].</w:t>
            </w:r>
          </w:p>
        </w:tc>
      </w:tr>
    </w:tbl>
    <w:p>
      <w:pPr>
        <w:spacing w:after="40"/>
      </w:pPr>
    </w:p>
    <w:p>
      <w:r>
        <w:t>Decisioni da prendere prima di scrivere il core: massimo tempo offline supportato, semantica esatta della quantità e della fusione duplicati, ruolo del proprietario del nucleo, modello di eliminazione dei dati e piattaforme di lancio. Con una prima alpha di 10–20 nuclei, gli strumenti suggeriti bastano; le ottimizzazioni infrastrutturali seguono misure reali.</w:t>
      </w:r>
    </w:p>
    <w:p>
      <w:pPr>
        <w:pStyle w:val="Heading1"/>
      </w:pPr>
      <w:r>
        <w:t>Fonti e note</w:t>
      </w:r>
    </w:p>
    <w:p>
      <w:r>
        <w:t>[P]  ListaViva Business Plan e PRD v0.1, documento fornito, 12 luglio 2026.</w:t>
      </w:r>
    </w:p>
    <w:p>
      <w:r>
        <w:t>[1]  Expo, Push notifications e development builds, https://docs.expo.dev/push-notifications/what-you-need-to-know/</w:t>
      </w:r>
    </w:p>
    <w:p>
      <w:r>
        <w:t>[2]  Expo, SQLite, https://docs.expo.dev/versions/latest/sdk/sqlite/</w:t>
      </w:r>
    </w:p>
    <w:p>
      <w:r>
        <w:t>[3]  Expo, Authentication, https://docs.expo.dev/guides/authentication/</w:t>
      </w:r>
    </w:p>
    <w:p>
      <w:r>
        <w:t>[4]  Drizzle, Migrations e Transactions, https://orm.drizzle.team/docs/migrations ; https://orm.drizzle.team/docs/transactions</w:t>
      </w:r>
    </w:p>
    <w:p>
      <w:r>
        <w:t>[5]  Supabase, JWT Signing Keys, https://supabase.com/docs/guides/auth/signing-keys</w:t>
      </w:r>
    </w:p>
    <w:p>
      <w:r>
        <w:t>[6]  EDPB, Guidelines 4/2019, https://www.edpb.europa.eu/documents/guideline/guidelines-42019-on-article-25-data-protection-by-design-and-by-default_en</w:t>
      </w:r>
    </w:p>
    <w:p>
      <w:r>
        <w:t>[7]  Supabase, Pricing, https://supabase.com/pricing</w:t>
      </w:r>
    </w:p>
    <w:p>
      <w:r>
        <w:t>[8]  Render, Hosting cost snapshot, https://render.com/articles/how-much-does-cloud-application-hosting-cost-for-small-businesses</w:t>
      </w:r>
    </w:p>
    <w:p>
      <w:r>
        <w:t>[9]  Apple, Membership Details, https://developer.apple.com/programs/whats-included/</w:t>
      </w:r>
    </w:p>
    <w:p>
      <w:r>
        <w:t>[10]  Google, Play Console registration, https://support.google.com/googleplay/android-developer/answer/6112435?hl=it</w:t>
      </w:r>
    </w:p>
    <w:p>
      <w:r>
        <w:t>[11]  Google, Service fees, https://support.google.com/googleplay/android-developer/answer/112622?hl=en</w:t>
      </w:r>
    </w:p>
    <w:p>
      <w:r>
        <w:t>Le cifre e le caratteristiche dei servizi sono state consultate il 24 settembre 2026; vanno riverificate prima di acquistare piani o pubblicare gli abbonamenti.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ListaViva  |  Report tecnico  |  24 settembre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/>
      <w:color w:val="232B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