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99" w:rsidRDefault="00766BF3" w:rsidP="00231A99">
      <w:pPr>
        <w:spacing w:line="276" w:lineRule="auto"/>
        <w:jc w:val="center"/>
      </w:pPr>
      <w:r>
        <w:t xml:space="preserve">This document describes </w:t>
      </w:r>
      <w:r w:rsidR="003F5388">
        <w:t>structure and architecture</w:t>
      </w:r>
      <w:r>
        <w:t xml:space="preserve"> of Currency Aggregator service</w:t>
      </w:r>
      <w:r w:rsidR="004B22C9">
        <w:t>.</w:t>
      </w:r>
    </w:p>
    <w:p w:rsidR="00231A99" w:rsidRPr="00231A99" w:rsidRDefault="00231A99" w:rsidP="00231A99">
      <w:pPr>
        <w:spacing w:line="276" w:lineRule="auto"/>
        <w:jc w:val="center"/>
        <w:rPr>
          <w:b/>
        </w:rPr>
      </w:pPr>
      <w:r w:rsidRPr="00231A99">
        <w:rPr>
          <w:b/>
        </w:rPr>
        <w:t>Overview</w:t>
      </w:r>
    </w:p>
    <w:p w:rsidR="00231A99" w:rsidRDefault="00C13529" w:rsidP="00231A99">
      <w:pPr>
        <w:spacing w:line="276" w:lineRule="auto"/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t>Currency Aggregator service</w:t>
      </w:r>
      <w:r w:rsidR="00231A99">
        <w:t xml:space="preserve"> loads and aggregates currency rates from files into one storage and provide interface that allows </w:t>
      </w:r>
      <w:r w:rsidR="00465671">
        <w:t>retrieving, updating and deleting</w:t>
      </w:r>
      <w:r w:rsidR="00231A99">
        <w:t xml:space="preserve"> </w:t>
      </w:r>
      <w:r w:rsidR="00465671">
        <w:t xml:space="preserve">of </w:t>
      </w:r>
      <w:r w:rsidR="00231A99">
        <w:t xml:space="preserve">currency rates. </w:t>
      </w:r>
      <w:r w:rsidR="00465671">
        <w:t>Service support</w:t>
      </w:r>
      <w:r>
        <w:t>s next file</w:t>
      </w:r>
      <w:r w:rsidR="00465671">
        <w:t xml:space="preserve"> formats: csv, json, xml. Service able to generate report with best propositions of buying and selling currencies. Currency Aggregator provides RESTful API.</w:t>
      </w:r>
      <w:bookmarkStart w:id="0" w:name="_GoBack"/>
      <w:bookmarkEnd w:id="0"/>
    </w:p>
    <w:p w:rsidR="00766BF3" w:rsidRDefault="003F5388" w:rsidP="004B22C9">
      <w:pPr>
        <w:spacing w:line="276" w:lineRule="auto"/>
      </w:pPr>
      <w:r>
        <w:t>Technology stack</w:t>
      </w:r>
      <w:r w:rsidR="00766BF3">
        <w:t>:</w:t>
      </w:r>
    </w:p>
    <w:p w:rsidR="003F5388" w:rsidRDefault="003F5388" w:rsidP="004B22C9">
      <w:pPr>
        <w:pStyle w:val="ListParagraph"/>
        <w:numPr>
          <w:ilvl w:val="0"/>
          <w:numId w:val="1"/>
        </w:numPr>
        <w:spacing w:line="276" w:lineRule="auto"/>
      </w:pPr>
      <w:r>
        <w:t>Java 8;</w:t>
      </w:r>
    </w:p>
    <w:p w:rsidR="003F5388" w:rsidRDefault="003F5388" w:rsidP="004B22C9">
      <w:pPr>
        <w:pStyle w:val="ListParagraph"/>
        <w:numPr>
          <w:ilvl w:val="0"/>
          <w:numId w:val="1"/>
        </w:numPr>
        <w:spacing w:line="276" w:lineRule="auto"/>
      </w:pPr>
      <w:r>
        <w:t>Maven 3.5.3;</w:t>
      </w:r>
    </w:p>
    <w:p w:rsidR="003F5388" w:rsidRDefault="003F5388" w:rsidP="004B22C9">
      <w:pPr>
        <w:pStyle w:val="ListParagraph"/>
        <w:numPr>
          <w:ilvl w:val="0"/>
          <w:numId w:val="1"/>
        </w:numPr>
        <w:spacing w:line="276" w:lineRule="auto"/>
      </w:pPr>
      <w:r>
        <w:t>Tomcat 9.0.8;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>Spring Framework</w:t>
      </w:r>
      <w:r w:rsidR="003F5388">
        <w:t xml:space="preserve"> 5.0.4;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>Jackson</w:t>
      </w:r>
      <w:r w:rsidR="003F5388">
        <w:t xml:space="preserve"> 2.9.5;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>OpenCSV</w:t>
      </w:r>
      <w:r w:rsidR="003F5388">
        <w:t xml:space="preserve"> 4.1;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 xml:space="preserve">Junit </w:t>
      </w:r>
      <w:r w:rsidR="003F5388">
        <w:t>4.12;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 xml:space="preserve">Mockito </w:t>
      </w:r>
      <w:r w:rsidR="003F5388">
        <w:t>2.18.3;</w:t>
      </w:r>
    </w:p>
    <w:p w:rsidR="00766BF3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>Log4J</w:t>
      </w:r>
      <w:r w:rsidR="003F5388">
        <w:t xml:space="preserve"> 2.11;</w:t>
      </w:r>
    </w:p>
    <w:p w:rsidR="003F5388" w:rsidRDefault="00766BF3" w:rsidP="004B22C9">
      <w:pPr>
        <w:pStyle w:val="ListParagraph"/>
        <w:numPr>
          <w:ilvl w:val="0"/>
          <w:numId w:val="1"/>
        </w:numPr>
        <w:spacing w:line="276" w:lineRule="auto"/>
      </w:pPr>
      <w:r>
        <w:t>Moneta</w:t>
      </w:r>
      <w:bookmarkStart w:id="1" w:name="_Toc131876422"/>
      <w:r w:rsidR="003F5388">
        <w:t xml:space="preserve"> 1.2.1.</w:t>
      </w:r>
    </w:p>
    <w:p w:rsidR="003F5388" w:rsidRDefault="003F5388" w:rsidP="004B22C9">
      <w:pPr>
        <w:pStyle w:val="ListParagraph"/>
        <w:spacing w:line="276" w:lineRule="auto"/>
      </w:pPr>
    </w:p>
    <w:p w:rsidR="003F5388" w:rsidRDefault="00766BF3" w:rsidP="004B22C9">
      <w:pPr>
        <w:pStyle w:val="ListParagraph"/>
        <w:spacing w:line="276" w:lineRule="auto"/>
        <w:ind w:left="0" w:firstLine="709"/>
        <w:jc w:val="center"/>
        <w:rPr>
          <w:b/>
        </w:rPr>
      </w:pPr>
      <w:r w:rsidRPr="003F5388">
        <w:rPr>
          <w:b/>
        </w:rPr>
        <w:t>High-Level</w:t>
      </w:r>
      <w:bookmarkEnd w:id="1"/>
      <w:r w:rsidR="003F5388">
        <w:rPr>
          <w:b/>
        </w:rPr>
        <w:t xml:space="preserve"> Architecture</w:t>
      </w:r>
    </w:p>
    <w:p w:rsidR="003F5388" w:rsidRDefault="003F5388" w:rsidP="004B22C9">
      <w:pPr>
        <w:pStyle w:val="ListParagraph"/>
        <w:spacing w:line="276" w:lineRule="auto"/>
        <w:ind w:left="0" w:firstLine="709"/>
        <w:jc w:val="left"/>
      </w:pPr>
    </w:p>
    <w:p w:rsidR="004B22C9" w:rsidRDefault="003F5388" w:rsidP="00AE1E82">
      <w:pPr>
        <w:pStyle w:val="ListParagraph"/>
        <w:spacing w:line="276" w:lineRule="auto"/>
        <w:ind w:left="0"/>
        <w:jc w:val="left"/>
      </w:pPr>
      <w:r>
        <w:t xml:space="preserve">Main </w:t>
      </w:r>
      <w:r w:rsidR="004B22C9">
        <w:t xml:space="preserve">components of a </w:t>
      </w:r>
      <w:r w:rsidR="004B22C9">
        <w:t xml:space="preserve">Currency Aggregator </w:t>
      </w:r>
      <w:r w:rsidR="004B22C9">
        <w:t xml:space="preserve">service </w:t>
      </w:r>
      <w:r>
        <w:t>are:</w:t>
      </w:r>
    </w:p>
    <w:p w:rsidR="00AE1E82" w:rsidRDefault="00AE1E82" w:rsidP="00AE1E82">
      <w:pPr>
        <w:pStyle w:val="ListParagraph"/>
        <w:spacing w:line="276" w:lineRule="auto"/>
        <w:ind w:left="0"/>
        <w:jc w:val="left"/>
      </w:pPr>
    </w:p>
    <w:p w:rsidR="00824B2B" w:rsidRDefault="00AE1E82" w:rsidP="00465671">
      <w:pPr>
        <w:pStyle w:val="ListParagraph"/>
        <w:numPr>
          <w:ilvl w:val="0"/>
          <w:numId w:val="1"/>
        </w:numPr>
        <w:spacing w:before="240" w:after="0" w:line="276" w:lineRule="auto"/>
        <w:jc w:val="left"/>
      </w:pPr>
      <w:r>
        <w:t>Controller (CurrencyController class)</w:t>
      </w:r>
    </w:p>
    <w:p w:rsidR="00824B2B" w:rsidRDefault="00824B2B" w:rsidP="004B22C9">
      <w:pPr>
        <w:spacing w:line="276" w:lineRule="auto"/>
        <w:ind w:left="360"/>
      </w:pPr>
      <w:r>
        <w:t>Controller responsible for accepting http</w:t>
      </w:r>
      <w:r>
        <w:t xml:space="preserve"> requests from users and </w:t>
      </w:r>
      <w:r>
        <w:t>responding</w:t>
      </w:r>
      <w:r>
        <w:t xml:space="preserve"> with requested resource</w:t>
      </w:r>
      <w:r w:rsidR="007F0944">
        <w:t>. Controller calls service methods.</w:t>
      </w:r>
    </w:p>
    <w:p w:rsidR="003F5388" w:rsidRDefault="003F5388" w:rsidP="004B22C9">
      <w:pPr>
        <w:pStyle w:val="ListParagraph"/>
        <w:numPr>
          <w:ilvl w:val="0"/>
          <w:numId w:val="1"/>
        </w:numPr>
        <w:spacing w:after="0" w:line="276" w:lineRule="auto"/>
        <w:jc w:val="left"/>
      </w:pPr>
      <w:r>
        <w:t>Service</w:t>
      </w:r>
      <w:r w:rsidR="00AE1E82">
        <w:t xml:space="preserve"> (CurrencyInMemoryService class)</w:t>
      </w:r>
    </w:p>
    <w:p w:rsidR="004B22C9" w:rsidRDefault="00824B2B" w:rsidP="004B22C9">
      <w:pPr>
        <w:spacing w:line="276" w:lineRule="auto"/>
        <w:ind w:left="360"/>
      </w:pPr>
      <w:r>
        <w:t xml:space="preserve">Service </w:t>
      </w:r>
      <w:r w:rsidR="00465671">
        <w:t>responsible for providing</w:t>
      </w:r>
      <w:r>
        <w:t xml:space="preserve"> methods for manipulating </w:t>
      </w:r>
      <w:r w:rsidR="007F0944">
        <w:t>currencies</w:t>
      </w:r>
      <w:r w:rsidR="00465671">
        <w:t xml:space="preserve">. Service </w:t>
      </w:r>
      <w:r w:rsidR="007F0944">
        <w:t>delegates</w:t>
      </w:r>
      <w:r w:rsidR="004B22C9" w:rsidRPr="004B22C9">
        <w:t xml:space="preserve"> </w:t>
      </w:r>
      <w:r w:rsidR="004B22C9">
        <w:t>method</w:t>
      </w:r>
      <w:r w:rsidR="007F0944">
        <w:t xml:space="preserve"> calls </w:t>
      </w:r>
      <w:r w:rsidR="004B22C9">
        <w:t xml:space="preserve">both </w:t>
      </w:r>
      <w:r w:rsidR="007F0944">
        <w:t xml:space="preserve">to </w:t>
      </w:r>
      <w:r>
        <w:t>internal storage and file</w:t>
      </w:r>
      <w:r w:rsidR="007F0944">
        <w:t xml:space="preserve"> providers</w:t>
      </w:r>
      <w:r w:rsidR="004B22C9">
        <w:t xml:space="preserve">, </w:t>
      </w:r>
      <w:r w:rsidR="007F0944">
        <w:t>keeping</w:t>
      </w:r>
      <w:r w:rsidR="004B22C9">
        <w:t xml:space="preserve"> them in</w:t>
      </w:r>
      <w:r w:rsidR="007F0944">
        <w:t xml:space="preserve"> </w:t>
      </w:r>
      <w:r w:rsidR="004B22C9">
        <w:t>consistency.</w:t>
      </w:r>
    </w:p>
    <w:p w:rsidR="007F0944" w:rsidRDefault="00824B2B" w:rsidP="004B22C9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Storage </w:t>
      </w:r>
      <w:r w:rsidR="00AE1E82">
        <w:t>(CurrencyRatesStorage class)</w:t>
      </w:r>
    </w:p>
    <w:p w:rsidR="00824B2B" w:rsidRDefault="00824B2B" w:rsidP="00AE1E82">
      <w:pPr>
        <w:spacing w:line="276" w:lineRule="auto"/>
        <w:ind w:left="360"/>
      </w:pPr>
      <w:r>
        <w:t xml:space="preserve">Storage </w:t>
      </w:r>
      <w:r w:rsidR="00465671">
        <w:t xml:space="preserve">responsible </w:t>
      </w:r>
      <w:r w:rsidR="00465671">
        <w:t xml:space="preserve">for keeping aggregated currency rates and </w:t>
      </w:r>
      <w:r w:rsidR="00172D34">
        <w:t>perform</w:t>
      </w:r>
      <w:r w:rsidR="00465671">
        <w:t>ing</w:t>
      </w:r>
      <w:r w:rsidR="007F0944">
        <w:t xml:space="preserve"> CRUD operations</w:t>
      </w:r>
      <w:r w:rsidR="007F0944">
        <w:t xml:space="preserve"> that affects only internal data structures</w:t>
      </w:r>
      <w:r w:rsidR="004B22C9">
        <w:t>.</w:t>
      </w:r>
    </w:p>
    <w:p w:rsidR="003F5388" w:rsidRDefault="003F5388" w:rsidP="00AE1E82">
      <w:pPr>
        <w:pStyle w:val="ListParagraph"/>
        <w:numPr>
          <w:ilvl w:val="0"/>
          <w:numId w:val="1"/>
        </w:numPr>
        <w:spacing w:after="0" w:line="276" w:lineRule="auto"/>
      </w:pPr>
      <w:r>
        <w:t>File providers</w:t>
      </w:r>
      <w:r w:rsidR="00AE1E82">
        <w:t xml:space="preserve"> (CsvCurrencyProvider, JsonCurrencyProvider, XmlCurrencyProvider classes)</w:t>
      </w:r>
    </w:p>
    <w:p w:rsidR="0072565E" w:rsidRDefault="00465671" w:rsidP="0072565E">
      <w:pPr>
        <w:spacing w:line="276" w:lineRule="auto"/>
        <w:ind w:left="360"/>
        <w:jc w:val="left"/>
      </w:pPr>
      <w:r>
        <w:t>File</w:t>
      </w:r>
      <w:r w:rsidR="004B22C9">
        <w:t xml:space="preserve"> providers perform low-level CRUD operations on files</w:t>
      </w:r>
      <w:r w:rsidR="00AE1E82">
        <w:t>.</w:t>
      </w:r>
    </w:p>
    <w:p w:rsidR="0072565E" w:rsidRDefault="0072565E" w:rsidP="0072565E">
      <w:pPr>
        <w:pStyle w:val="ListParagraph"/>
        <w:numPr>
          <w:ilvl w:val="0"/>
          <w:numId w:val="1"/>
        </w:numPr>
        <w:spacing w:after="0" w:line="276" w:lineRule="auto"/>
        <w:jc w:val="left"/>
      </w:pPr>
      <w:r>
        <w:lastRenderedPageBreak/>
        <w:t>Model (CurrencyRate class)</w:t>
      </w:r>
    </w:p>
    <w:p w:rsidR="0072565E" w:rsidRDefault="0072565E" w:rsidP="0072565E">
      <w:pPr>
        <w:spacing w:after="0" w:line="276" w:lineRule="auto"/>
        <w:ind w:left="360"/>
        <w:jc w:val="left"/>
      </w:pPr>
      <w:r>
        <w:t>Represents main entity of application – currency that has code, buy and sell price properties.</w:t>
      </w:r>
    </w:p>
    <w:p w:rsidR="0072565E" w:rsidRDefault="0072565E" w:rsidP="0072565E">
      <w:pPr>
        <w:spacing w:line="276" w:lineRule="auto"/>
        <w:ind w:left="360"/>
        <w:jc w:val="left"/>
      </w:pPr>
    </w:p>
    <w:p w:rsidR="001C7A9F" w:rsidRDefault="001C7A9F" w:rsidP="00C13529">
      <w:pPr>
        <w:pStyle w:val="ListParagraph"/>
        <w:spacing w:line="276" w:lineRule="auto"/>
        <w:ind w:left="0"/>
        <w:jc w:val="center"/>
        <w:rPr>
          <w:b/>
        </w:rPr>
      </w:pPr>
      <w:r>
        <w:rPr>
          <w:b/>
        </w:rPr>
        <w:t>API</w:t>
      </w:r>
      <w:r w:rsidR="00DF219A">
        <w:rPr>
          <w:b/>
        </w:rPr>
        <w:t xml:space="preserve"> overview</w:t>
      </w:r>
    </w:p>
    <w:p w:rsidR="001C7A9F" w:rsidRDefault="001C7A9F" w:rsidP="00DF219A">
      <w:pPr>
        <w:spacing w:line="276" w:lineRule="auto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3692"/>
        <w:gridCol w:w="1585"/>
        <w:gridCol w:w="3274"/>
      </w:tblGrid>
      <w:tr w:rsidR="00DF219A" w:rsidTr="00DF219A">
        <w:trPr>
          <w:jc w:val="center"/>
        </w:trPr>
        <w:tc>
          <w:tcPr>
            <w:tcW w:w="1225" w:type="dxa"/>
            <w:tcBorders>
              <w:bottom w:val="single" w:sz="4" w:space="0" w:color="auto"/>
            </w:tcBorders>
            <w:vAlign w:val="center"/>
          </w:tcPr>
          <w:p w:rsidR="00C25A8C" w:rsidRPr="001C7A9F" w:rsidRDefault="00C25A8C" w:rsidP="00C25A8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HTTP method</w:t>
            </w: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C25A8C" w:rsidRPr="001C7A9F" w:rsidRDefault="00C25A8C" w:rsidP="00C25A8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1585" w:type="dxa"/>
            <w:vAlign w:val="center"/>
          </w:tcPr>
          <w:p w:rsidR="00C25A8C" w:rsidRPr="00C25A8C" w:rsidRDefault="00DF219A" w:rsidP="00C25A8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Query parameters</w:t>
            </w:r>
          </w:p>
        </w:tc>
        <w:tc>
          <w:tcPr>
            <w:tcW w:w="3274" w:type="dxa"/>
            <w:vAlign w:val="center"/>
          </w:tcPr>
          <w:p w:rsidR="00C25A8C" w:rsidRPr="001C7A9F" w:rsidRDefault="00C25A8C" w:rsidP="00C25A8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25A8C">
              <w:rPr>
                <w:b/>
              </w:rPr>
              <w:t>Operation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GET</w:t>
            </w:r>
          </w:p>
        </w:tc>
        <w:tc>
          <w:tcPr>
            <w:tcW w:w="3692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/</w:t>
            </w:r>
          </w:p>
        </w:tc>
        <w:tc>
          <w:tcPr>
            <w:tcW w:w="158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none</w:t>
            </w:r>
          </w:p>
        </w:tc>
        <w:tc>
          <w:tcPr>
            <w:tcW w:w="3274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Get all rates for all codes and banks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GET</w:t>
            </w:r>
          </w:p>
        </w:tc>
        <w:tc>
          <w:tcPr>
            <w:tcW w:w="3692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/{code}</w:t>
            </w:r>
          </w:p>
        </w:tc>
        <w:tc>
          <w:tcPr>
            <w:tcW w:w="158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none</w:t>
            </w:r>
          </w:p>
        </w:tc>
        <w:tc>
          <w:tcPr>
            <w:tcW w:w="3274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Get all rates for code from all banks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GET</w:t>
            </w:r>
          </w:p>
        </w:tc>
        <w:tc>
          <w:tcPr>
            <w:tcW w:w="3692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1C7A9F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{code}/{operation}</w:t>
            </w:r>
          </w:p>
        </w:tc>
        <w:tc>
          <w:tcPr>
            <w:tcW w:w="158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none</w:t>
            </w:r>
          </w:p>
        </w:tc>
        <w:tc>
          <w:tcPr>
            <w:tcW w:w="3274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Get all prices for operation (buy or sell) from all banks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</w:t>
            </w:r>
          </w:p>
        </w:tc>
        <w:tc>
          <w:tcPr>
            <w:tcW w:w="3692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/report</w:t>
            </w:r>
          </w:p>
        </w:tc>
        <w:tc>
          <w:tcPr>
            <w:tcW w:w="158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none</w:t>
            </w:r>
          </w:p>
        </w:tc>
        <w:tc>
          <w:tcPr>
            <w:tcW w:w="3274" w:type="dxa"/>
            <w:vAlign w:val="center"/>
          </w:tcPr>
          <w:p w:rsidR="00C25A8C" w:rsidRPr="00004E5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Get report with the most profitable prices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PUT</w:t>
            </w:r>
          </w:p>
        </w:tc>
        <w:tc>
          <w:tcPr>
            <w:tcW w:w="3692" w:type="dxa"/>
            <w:vAlign w:val="center"/>
          </w:tcPr>
          <w:p w:rsidR="00C25A8C" w:rsidRPr="001C7A9F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/{code}/{operation}</w:t>
            </w:r>
          </w:p>
        </w:tc>
        <w:tc>
          <w:tcPr>
            <w:tcW w:w="1585" w:type="dxa"/>
            <w:vAlign w:val="center"/>
          </w:tcPr>
          <w:p w:rsidR="00C25A8C" w:rsidRP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cs="Times New Roman"/>
                <w:b/>
              </w:rPr>
            </w:pPr>
            <w:r w:rsidRPr="00C25A8C">
              <w:rPr>
                <w:rFonts w:cs="Times New Roman"/>
                <w:b/>
              </w:rPr>
              <w:t>value, bank</w:t>
            </w:r>
          </w:p>
        </w:tc>
        <w:tc>
          <w:tcPr>
            <w:tcW w:w="3274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Update operation price (buy or sell) for bank</w:t>
            </w:r>
          </w:p>
        </w:tc>
      </w:tr>
      <w:tr w:rsidR="00DF219A" w:rsidTr="00DF219A">
        <w:trPr>
          <w:jc w:val="center"/>
        </w:trPr>
        <w:tc>
          <w:tcPr>
            <w:tcW w:w="1225" w:type="dxa"/>
            <w:tcBorders>
              <w:bottom w:val="single" w:sz="4" w:space="0" w:color="auto"/>
            </w:tcBorders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DELETE</w:t>
            </w: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</w:p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</w:p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85" w:type="dxa"/>
            <w:vAlign w:val="center"/>
          </w:tcPr>
          <w:p w:rsidR="00C25A8C" w:rsidRP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  <w:rPr>
                <w:rFonts w:cs="Times New Roman"/>
                <w:b/>
              </w:rPr>
            </w:pPr>
            <w:r w:rsidRPr="00C25A8C">
              <w:rPr>
                <w:rFonts w:cs="Times New Roman"/>
                <w:b/>
              </w:rPr>
              <w:t>bank</w:t>
            </w:r>
          </w:p>
        </w:tc>
        <w:tc>
          <w:tcPr>
            <w:tcW w:w="3274" w:type="dxa"/>
            <w:vAlign w:val="center"/>
          </w:tcPr>
          <w:p w:rsidR="00C25A8C" w:rsidRDefault="00C25A8C" w:rsidP="00C25A8C">
            <w:pPr>
              <w:pStyle w:val="ListParagraph"/>
              <w:spacing w:before="240" w:line="360" w:lineRule="auto"/>
              <w:ind w:left="0"/>
              <w:jc w:val="center"/>
            </w:pPr>
            <w:r>
              <w:t>Delete bank</w:t>
            </w:r>
          </w:p>
        </w:tc>
      </w:tr>
    </w:tbl>
    <w:p w:rsidR="001C7A9F" w:rsidRPr="001C7A9F" w:rsidRDefault="001C7A9F" w:rsidP="001C7A9F">
      <w:pPr>
        <w:pStyle w:val="ListParagraph"/>
        <w:spacing w:line="276" w:lineRule="auto"/>
        <w:ind w:left="0" w:firstLine="709"/>
        <w:jc w:val="left"/>
      </w:pPr>
    </w:p>
    <w:p w:rsidR="009619D4" w:rsidRPr="00C13529" w:rsidRDefault="00DF219A" w:rsidP="00C13529">
      <w:pPr>
        <w:spacing w:line="276" w:lineRule="auto"/>
      </w:pPr>
      <w:r>
        <w:t>For PUT and DELETE</w:t>
      </w:r>
      <w:r w:rsidR="00087F5A">
        <w:t xml:space="preserve"> requests,</w:t>
      </w:r>
      <w:r>
        <w:t xml:space="preserve"> service accept </w:t>
      </w:r>
      <w:r>
        <w:t>query parameters</w:t>
      </w:r>
      <w:r w:rsidR="00231A99">
        <w:t xml:space="preserve"> </w:t>
      </w:r>
      <w:r>
        <w:t>(e.g.</w:t>
      </w:r>
      <w:r w:rsidR="00231A99">
        <w:t> localhost:8080/USD</w:t>
      </w:r>
      <w:r>
        <w:t>/sell?</w:t>
      </w:r>
      <w:r w:rsidRPr="00087F5A">
        <w:rPr>
          <w:b/>
        </w:rPr>
        <w:t>bank</w:t>
      </w:r>
      <w:r>
        <w:t>=mega&amp;</w:t>
      </w:r>
      <w:r w:rsidRPr="00087F5A">
        <w:rPr>
          <w:b/>
        </w:rPr>
        <w:t>value</w:t>
      </w:r>
      <w:r>
        <w:t>=2.2)</w:t>
      </w:r>
      <w:r w:rsidR="00087F5A">
        <w:t xml:space="preserve"> </w:t>
      </w:r>
      <w:r w:rsidR="009619D4">
        <w:t>and response</w:t>
      </w:r>
      <w:r>
        <w:t xml:space="preserve"> </w:t>
      </w:r>
      <w:r w:rsidR="009619D4">
        <w:t xml:space="preserve">with empty body with either </w:t>
      </w:r>
      <w:r w:rsidR="009619D4" w:rsidRPr="009619D4">
        <w:t>«</w:t>
      </w:r>
      <w:r w:rsidR="009619D4">
        <w:t>200 OK</w:t>
      </w:r>
      <w:r w:rsidR="009619D4" w:rsidRPr="009619D4">
        <w:t>»</w:t>
      </w:r>
      <w:r w:rsidR="009619D4">
        <w:t xml:space="preserve"> if operation succeed or </w:t>
      </w:r>
      <w:r w:rsidR="009619D4" w:rsidRPr="009619D4">
        <w:t>«</w:t>
      </w:r>
      <w:r w:rsidR="009619D4">
        <w:t xml:space="preserve">422 </w:t>
      </w:r>
      <w:r w:rsidR="009619D4" w:rsidRPr="009619D4">
        <w:t xml:space="preserve">Unprocessable Entity» </w:t>
      </w:r>
      <w:r w:rsidR="009619D4">
        <w:t xml:space="preserve">if bank in parameter </w:t>
      </w:r>
      <w:r w:rsidR="00465671">
        <w:t>does not</w:t>
      </w:r>
      <w:r w:rsidR="009619D4">
        <w:t xml:space="preserve"> exist</w:t>
      </w:r>
      <w:r w:rsidR="00087F5A">
        <w:t>.</w:t>
      </w:r>
      <w:r w:rsidR="00C13529">
        <w:t xml:space="preserve"> If one or both query parameters are not present service responds </w:t>
      </w:r>
      <w:r w:rsidR="00AE1E82">
        <w:t>with «</w:t>
      </w:r>
      <w:r w:rsidR="00C13529" w:rsidRPr="00C13529">
        <w:t>400 Bad Request».</w:t>
      </w:r>
    </w:p>
    <w:p w:rsidR="00C13529" w:rsidRDefault="00DF219A" w:rsidP="00C13529">
      <w:pPr>
        <w:spacing w:line="276" w:lineRule="auto"/>
      </w:pPr>
      <w:r>
        <w:t>For GET requests</w:t>
      </w:r>
      <w:r w:rsidR="00087F5A">
        <w:t>,</w:t>
      </w:r>
      <w:r>
        <w:t xml:space="preserve"> service</w:t>
      </w:r>
      <w:r w:rsidR="009619D4">
        <w:t xml:space="preserve"> responses with queried </w:t>
      </w:r>
      <w:r w:rsidR="00087F5A">
        <w:t>currencies</w:t>
      </w:r>
      <w:r w:rsidR="009619D4">
        <w:t xml:space="preserve"> in body with </w:t>
      </w:r>
      <w:r w:rsidR="009619D4" w:rsidRPr="009619D4">
        <w:t xml:space="preserve">«200 </w:t>
      </w:r>
      <w:r w:rsidR="009619D4">
        <w:t>OK</w:t>
      </w:r>
      <w:r w:rsidR="009619D4" w:rsidRPr="009619D4">
        <w:t>»</w:t>
      </w:r>
      <w:r w:rsidR="00C13529">
        <w:t xml:space="preserve"> status code</w:t>
      </w:r>
      <w:r w:rsidR="009619D4" w:rsidRPr="009619D4">
        <w:t xml:space="preserve"> </w:t>
      </w:r>
      <w:r w:rsidR="00087F5A">
        <w:t xml:space="preserve">and header Content-Type: </w:t>
      </w:r>
      <w:r w:rsidR="00087F5A" w:rsidRPr="00087F5A">
        <w:t>application/json</w:t>
      </w:r>
    </w:p>
    <w:p w:rsidR="0072565E" w:rsidRDefault="00C13529" w:rsidP="0072565E">
      <w:pPr>
        <w:spacing w:line="276" w:lineRule="auto"/>
      </w:pPr>
      <w:r>
        <w:t xml:space="preserve">For request with HTTP methods that are not present in the table above, service responds with </w:t>
      </w:r>
      <w:r w:rsidRPr="00C13529">
        <w:t>«</w:t>
      </w:r>
      <w:r>
        <w:t>405</w:t>
      </w:r>
      <w:r w:rsidRPr="00C13529">
        <w:t xml:space="preserve"> Method Not Allowed»</w:t>
      </w:r>
      <w:r>
        <w:t xml:space="preserve"> status code</w:t>
      </w:r>
      <w:r w:rsidR="00AE1E82">
        <w:t>.</w:t>
      </w:r>
    </w:p>
    <w:p w:rsidR="00AE1E82" w:rsidRPr="00AE1E82" w:rsidRDefault="00AE1E82" w:rsidP="00AE1E82">
      <w:pPr>
        <w:spacing w:line="259" w:lineRule="auto"/>
        <w:jc w:val="center"/>
        <w:rPr>
          <w:b/>
        </w:rPr>
      </w:pPr>
      <w:r w:rsidRPr="00AE1E82">
        <w:rPr>
          <w:b/>
        </w:rPr>
        <w:lastRenderedPageBreak/>
        <w:t>UML class diagram</w:t>
      </w:r>
    </w:p>
    <w:p w:rsidR="00766BF3" w:rsidRDefault="001C7A9F" w:rsidP="00AE1E82">
      <w:pPr>
        <w:spacing w:line="276" w:lineRule="auto"/>
        <w:ind w:left="-567"/>
        <w:jc w:val="left"/>
      </w:pPr>
      <w:r>
        <w:rPr>
          <w:noProof/>
        </w:rPr>
        <w:drawing>
          <wp:inline distT="0" distB="0" distL="0" distR="0">
            <wp:extent cx="8630345" cy="6860540"/>
            <wp:effectExtent l="8573" t="0" r="7937" b="793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3508" cy="68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F3" w:rsidSect="00697E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004214"/>
    <w:multiLevelType w:val="hybridMultilevel"/>
    <w:tmpl w:val="81507EC8"/>
    <w:lvl w:ilvl="0" w:tplc="6C72C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65"/>
    <w:rsid w:val="00004E5C"/>
    <w:rsid w:val="00062465"/>
    <w:rsid w:val="00087F5A"/>
    <w:rsid w:val="00172D34"/>
    <w:rsid w:val="001C7A9F"/>
    <w:rsid w:val="00231A99"/>
    <w:rsid w:val="002D30FB"/>
    <w:rsid w:val="003F5388"/>
    <w:rsid w:val="00465671"/>
    <w:rsid w:val="004B22C9"/>
    <w:rsid w:val="004B3769"/>
    <w:rsid w:val="00697EDC"/>
    <w:rsid w:val="0072565E"/>
    <w:rsid w:val="00766BF3"/>
    <w:rsid w:val="007D5A15"/>
    <w:rsid w:val="007F0944"/>
    <w:rsid w:val="00824B2B"/>
    <w:rsid w:val="008F6502"/>
    <w:rsid w:val="009619D4"/>
    <w:rsid w:val="009709D6"/>
    <w:rsid w:val="00AE1E82"/>
    <w:rsid w:val="00C13529"/>
    <w:rsid w:val="00C25A8C"/>
    <w:rsid w:val="00D259B8"/>
    <w:rsid w:val="00DF219A"/>
    <w:rsid w:val="00E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8CDF"/>
  <w15:chartTrackingRefBased/>
  <w15:docId w15:val="{C6527A0B-C65C-4F13-B90B-8E7A2938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F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66BF3"/>
    <w:pPr>
      <w:keepNext/>
      <w:numPr>
        <w:numId w:val="2"/>
      </w:numPr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6BF3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66BF3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66BF3"/>
    <w:pPr>
      <w:keepNext/>
      <w:numPr>
        <w:ilvl w:val="3"/>
        <w:numId w:val="2"/>
      </w:numPr>
      <w:spacing w:before="240" w:after="60"/>
      <w:jc w:val="left"/>
      <w:outlineLvl w:val="3"/>
    </w:pPr>
    <w:rPr>
      <w:rFonts w:eastAsia="Times New Roman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66BF3"/>
    <w:pPr>
      <w:numPr>
        <w:ilvl w:val="4"/>
        <w:numId w:val="2"/>
      </w:numPr>
      <w:spacing w:before="240" w:after="60"/>
      <w:jc w:val="lef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6BF3"/>
    <w:pPr>
      <w:numPr>
        <w:ilvl w:val="5"/>
        <w:numId w:val="2"/>
      </w:numPr>
      <w:spacing w:before="240" w:after="60"/>
      <w:jc w:val="left"/>
      <w:outlineLvl w:val="5"/>
    </w:pPr>
    <w:rPr>
      <w:rFonts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66BF3"/>
    <w:pPr>
      <w:numPr>
        <w:ilvl w:val="6"/>
        <w:numId w:val="2"/>
      </w:numPr>
      <w:spacing w:before="240" w:after="60"/>
      <w:jc w:val="left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66BF3"/>
    <w:pPr>
      <w:numPr>
        <w:ilvl w:val="7"/>
        <w:numId w:val="2"/>
      </w:numPr>
      <w:spacing w:before="240" w:after="60"/>
      <w:jc w:val="left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66BF3"/>
    <w:pPr>
      <w:numPr>
        <w:ilvl w:val="8"/>
        <w:numId w:val="2"/>
      </w:numPr>
      <w:spacing w:before="240" w:after="60"/>
      <w:jc w:val="left"/>
      <w:outlineLvl w:val="8"/>
    </w:pPr>
    <w:rPr>
      <w:rFonts w:ascii="Arial" w:eastAsia="Times New Roman" w:hAnsi="Arial" w:cs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6BF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66BF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766BF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66BF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66BF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66BF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66BF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66BF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66BF3"/>
    <w:rPr>
      <w:rFonts w:ascii="Arial" w:eastAsia="Times New Roman" w:hAnsi="Arial" w:cs="Arial"/>
    </w:rPr>
  </w:style>
  <w:style w:type="table" w:styleId="TableGrid">
    <w:name w:val="Table Grid"/>
    <w:basedOn w:val="TableNormal"/>
    <w:uiPriority w:val="39"/>
    <w:rsid w:val="001C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Kotlyar, Artur</dc:creator>
  <cp:keywords/>
  <dc:description/>
  <cp:lastModifiedBy>Kotlyar, Artur</cp:lastModifiedBy>
  <cp:revision>5</cp:revision>
  <dcterms:created xsi:type="dcterms:W3CDTF">2018-07-02T15:37:00Z</dcterms:created>
  <dcterms:modified xsi:type="dcterms:W3CDTF">2018-07-03T14:09:00Z</dcterms:modified>
</cp:coreProperties>
</file>