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Calibri" w:hAnsi="Calibri"/>
          <w:b/>
          <w:sz w:val="22"/>
        </w:rPr>
        <w:t>Table 1. Demographic and clinical characteristics of the cohort.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type="dxa" w:w="340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FBI cohort (n=506)</w:t>
            </w:r>
          </w:p>
        </w:tc>
        <w:tc>
          <w:tcPr>
            <w:tcW w:type="dxa" w:w="3408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Complete-case (n=345)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Age at test, years (mean ± SD)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65.9 ± 11.2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65.3 ± 11.1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Male sex, n (%)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284 (56.1%)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198 (57.4%)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Education, years (mean ± SD)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10.7 ± 4.2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10.8 ± 4.1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Site of onset (n with data)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419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273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 xml:space="preserve">   Bulbar, n (%)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128 (30.5%)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76 (27.8%)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 xml:space="preserve">   Spinal, n (%)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291 (69.5%)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197 (72.2%)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ALSFRS-R total at assessment (mean ± SD)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38.7 ± 5.2 (n = 383)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39.0 ± 5.1 (n = 247)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MiToS stage (n with data)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382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246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MiToS stage 0 / 1 / 2, n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322 / 57 / 3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207 / 37 / 2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King's stage (n with data)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382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246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King's stage 1 / 2 / 3 / 4, n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136 / 122 / 112 / 12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94 / 71 / 72 / 9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C9orf72 expansion (positive / tested)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18 / 393 (4.6%)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13 / 251 (5.2%)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Strong 2017 classification (n with data)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504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Strong 2017 classification, n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 xml:space="preserve">   Cognitively normal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217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151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 xml:space="preserve">   ALSci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107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74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 xml:space="preserve">   ALSbi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78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52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 xml:space="preserve">   ALScbi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77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55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 xml:space="preserve">   ALS-FTD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13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FBI total (mean ± SD; median, range)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9.1 ± 9.0; 6 (0–72)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9.4 ± 9.2; 7 (0–72)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Calibri" w:hAnsi="Calibri"/>
                <w:b w:val="0"/>
                <w:sz w:val="20"/>
              </w:rPr>
              <w:t>Behavioural impairment by consensus, n (%)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  <w:tc>
          <w:tcPr>
            <w:tcW w:type="dxa" w:w="34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85 (24.6%)</w:t>
            </w:r>
          </w:p>
        </w:tc>
      </w:tr>
    </w:tbl>
    <w:p>
      <w:pPr>
        <w:spacing w:before="160"/>
      </w:pPr>
      <w:r>
        <w:rPr>
          <w:rFonts w:ascii="Calibri" w:hAnsi="Calibri"/>
          <w:i/>
          <w:sz w:val="18"/>
        </w:rPr>
        <w:t>Continuous variables are reported as mean ± standard deviation; categorical variables as count and proportion. SD, standard deviation; ALSFRS-R, Amyotrophic Lateral Sclerosis Functional Rating Scale – Revised. Complete-case = patients with concurrent ECAS-behavioural, FrSBe and BBI data.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