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2"/>
        </w:rPr>
        <w:t>Table 2. Performance of candidate FBI total cut-offs.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Cut-off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Sensitivity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Specificity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PPV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NPV</w:t>
            </w:r>
          </w:p>
        </w:tc>
        <w:tc>
          <w:tcPr>
            <w:tcW w:type="dxa" w:w="17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Cohen's κ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FBI ≥ 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0.894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0.688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0.484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0.952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+0.453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FBI ≥ 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0.871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0.738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0.521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0.946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+0.497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FBI ≥ 10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0.800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0.773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0.535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0.922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+0.491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FBI ≥ 12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0.729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0.831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0.585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0.904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+0.517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FBI ≥ 15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0.659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0.904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0.691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0.890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+0.572</w:t>
            </w:r>
          </w:p>
        </w:tc>
      </w:tr>
      <w:tr>
        <w:tc>
          <w:tcPr>
            <w:tcW w:type="dxa" w:w="1704"/>
          </w:tcPr>
          <w:p>
            <w:r/>
            <w:r>
              <w:rPr>
                <w:rFonts w:ascii="Calibri" w:hAnsi="Calibri"/>
                <w:b w:val="0"/>
                <w:sz w:val="20"/>
              </w:rPr>
              <w:t>FBI ≥ 25 (legacy)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0.224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0.977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0.760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0.794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+0.263</w:t>
            </w:r>
          </w:p>
        </w:tc>
      </w:tr>
    </w:tbl>
    <w:p>
      <w:pPr>
        <w:spacing w:before="160"/>
      </w:pPr>
      <w:r>
        <w:rPr>
          <w:rFonts w:ascii="Calibri" w:hAnsi="Calibri"/>
          <w:i/>
          <w:sz w:val="18"/>
        </w:rPr>
        <w:t>Performance of candidate FBI total cut-offs against the consensus reference standard (n = 345, behavioural-impairment prevalence 24.6%). PPV, positive predictive value; NPV, negative predictive value. The proposed ALS cut-off is Youden-optimal; FBI ≥ 25 is the legacy bvFTD-derived threshold, shown for comparison.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