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2"/>
        </w:rPr>
        <w:t>Table 1. Demographic and clinical characteristics of the cohort.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type="dxa" w:w="2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FBI cohort (n=506)</w:t>
            </w:r>
          </w:p>
        </w:tc>
        <w:tc>
          <w:tcPr>
            <w:tcW w:type="dxa" w:w="2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Complete-case (n=345)</w:t>
            </w:r>
          </w:p>
        </w:tc>
        <w:tc>
          <w:tcPr>
            <w:tcW w:type="dxa" w:w="2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p-value¹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Age at test, years (mean ± SD)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65.9 ± 11.2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65.3 ± 11.1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0.101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Male sex, n (%)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284 (56.1%)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198 (57.4%)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Education, years (mean ± SD)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10.7 ± 4.2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10.8 ± 4.1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0.264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Site of onset (n with data)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419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273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0.119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   Bulbar, n (%)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128 (30.5%)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76 (27.8%)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   Spinal, n (%)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291 (69.5%)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197 (72.2%)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ALSFRS-R total at assessment (mean ± SD)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38.7 ± 5.2 (n = 383)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39.0 ± 5.1 (n = 247)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0.171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MiToS stage (n with data)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382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246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0.001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MiToS stage 0 / 1 / 2, n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322 / 57 / 3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207 / 37 / 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King’s stage (n with data)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382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246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0.266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King’s stage 1 / 2 / 3 / 4, n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136 / 122 / 112 / 12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94 / 71 / 72 / 9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C9orf72 expansion (positive / tested)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18 / 393 (4.6%)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13 / 251 (5.2%)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Strong 2017 classification (n with data)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504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345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0.445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Strong 2017 classification, n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   Cognitively normal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217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   ALSci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107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74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   ALSbi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78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   ALScbi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77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   ALS-FTD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FBI total (mean ± SD; median, range)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9.1 ± 9.0; 6 (0–72)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9.4 ± 9.2; 7 (0–72)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0.308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alibri" w:hAnsi="Calibri"/>
                <w:b w:val="0"/>
                <w:sz w:val="20"/>
              </w:rPr>
              <w:t>Behavioural impairment by consensus, n (%)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85 (24.6%)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</w:tbl>
    <w:p>
      <w:pPr>
        <w:spacing w:before="160"/>
      </w:pPr>
      <w:r>
        <w:rPr>
          <w:rFonts w:ascii="Calibri" w:hAnsi="Calibri"/>
          <w:i/>
          <w:sz w:val="18"/>
        </w:rPr>
        <w:t>Continuous variables: mean ± SD; categorical variables: n (%). SD, standard deviation; ALSFRS-R, Amyotrophic Lateral Sclerosis Functional Rating Scale – Revised. Complete-case = patients with concurrent ECAS-behavioural, FrSBe and BBI data. ¹p-value compares complete-case (n = 345) vs non-complete-case (n = 161) patients: Mann–Whitney U for continuous variables; chi-square or Fisher exact for categorical variables. p shown only for the summary row of grouped variables (e.g. onset site, MiToS, King’s, Strong 2017); subcategory rows left blank to avoid redundancy. — = not applicable.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