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sz w:val="22"/>
        </w:rPr>
        <w:t>Table 3. Subscale recalibration.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c>
          <w:tcPr>
            <w:tcW w:type="dxa" w:w="1975"/>
            <w:shd w:val="clear" w:color="auto" w:fill="D9E2F3"/>
          </w:tcPr>
          <w:p>
            <w:r/>
            <w:r>
              <w:rPr>
                <w:rFonts w:ascii="Calibri" w:hAnsi="Calibri"/>
                <w:b/>
                <w:sz w:val="20"/>
              </w:rPr>
              <w:t>Subscale</w:t>
            </w:r>
          </w:p>
        </w:tc>
        <w:tc>
          <w:tcPr>
            <w:tcW w:type="dxa" w:w="1975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Anchor</w:t>
            </w:r>
          </w:p>
        </w:tc>
        <w:tc>
          <w:tcPr>
            <w:tcW w:type="dxa" w:w="1975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n</w:t>
            </w:r>
          </w:p>
        </w:tc>
        <w:tc>
          <w:tcPr>
            <w:tcW w:type="dxa" w:w="1975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AUC (95% CI)</w:t>
            </w:r>
          </w:p>
        </w:tc>
        <w:tc>
          <w:tcPr>
            <w:tcW w:type="dxa" w:w="1975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Optimal cut-off (95% CI)</w:t>
            </w:r>
          </w:p>
        </w:tc>
        <w:tc>
          <w:tcPr>
            <w:tcW w:type="dxa" w:w="1975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Sens. / Spec.</w:t>
            </w:r>
          </w:p>
        </w:tc>
        <w:tc>
          <w:tcPr>
            <w:tcW w:type="dxa" w:w="1975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Cohen’s κ</w:t>
            </w:r>
          </w:p>
        </w:tc>
      </w:tr>
      <w:tr>
        <w:tc>
          <w:tcPr>
            <w:tcW w:type="dxa" w:w="1975"/>
          </w:tcPr>
          <w:p>
            <w:r/>
            <w:r>
              <w:rPr>
                <w:rFonts w:ascii="Calibri" w:hAnsi="Calibri"/>
                <w:b w:val="0"/>
                <w:sz w:val="20"/>
              </w:rPr>
              <w:t>FBI Apathy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Consensus ≥2/3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345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0.808 (0.754–0.861)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≥ 7 (5–11)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0.80 / 0.72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+0.430</w:t>
            </w:r>
          </w:p>
        </w:tc>
      </w:tr>
      <w:tr>
        <w:tc>
          <w:tcPr>
            <w:tcW w:type="dxa" w:w="1975"/>
          </w:tcPr>
          <w:p>
            <w:r/>
            <w:r>
              <w:rPr>
                <w:rFonts w:ascii="Calibri" w:hAnsi="Calibri"/>
                <w:b w:val="0"/>
                <w:sz w:val="20"/>
              </w:rPr>
              <w:t>FBI Apathy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FrSBe-Apathy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345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0.815 (0.768–0.861)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≥ 8 (6–9)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0.77 / 0.78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+0.491</w:t>
            </w:r>
          </w:p>
        </w:tc>
      </w:tr>
      <w:tr>
        <w:tc>
          <w:tcPr>
            <w:tcW w:type="dxa" w:w="1975"/>
          </w:tcPr>
          <w:p>
            <w:r/>
            <w:r>
              <w:rPr>
                <w:rFonts w:ascii="Calibri" w:hAnsi="Calibri"/>
                <w:b w:val="0"/>
                <w:sz w:val="20"/>
              </w:rPr>
              <w:t>FBI Disinhibition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Consensus ≥2/3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345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0.851 (0.803–0.896)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≥ 4 (2–5)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0.65 / 0.88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+0.526</w:t>
            </w:r>
          </w:p>
        </w:tc>
      </w:tr>
      <w:tr>
        <w:tc>
          <w:tcPr>
            <w:tcW w:type="dxa" w:w="1975"/>
          </w:tcPr>
          <w:p>
            <w:r/>
            <w:r>
              <w:rPr>
                <w:rFonts w:ascii="Calibri" w:hAnsi="Calibri"/>
                <w:b w:val="0"/>
                <w:sz w:val="20"/>
              </w:rPr>
              <w:t>FBI Disinhibition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FrSBe-Disinhibition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345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0.809 (0.743–0.870)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≥ 2 (2–8)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0.94 / 0.58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+0.202</w:t>
            </w:r>
          </w:p>
        </w:tc>
      </w:tr>
      <w:tr>
        <w:tc>
          <w:tcPr>
            <w:tcW w:type="dxa" w:w="1975"/>
          </w:tcPr>
          <w:p>
            <w:r/>
            <w:r>
              <w:rPr>
                <w:rFonts w:ascii="Calibri" w:hAnsi="Calibri"/>
                <w:b w:val="0"/>
                <w:sz w:val="20"/>
              </w:rPr>
              <w:t>FBI Disinhibition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ECAS-Disinhibition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345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0.776 (0.681–0.868)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≥ 4 (2–7)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0.67 / 0.78</w:t>
            </w:r>
          </w:p>
        </w:tc>
        <w:tc>
          <w:tcPr>
            <w:tcW w:type="dxa" w:w="19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+0.182</w:t>
            </w:r>
          </w:p>
        </w:tc>
      </w:tr>
    </w:tbl>
    <w:p>
      <w:pPr>
        <w:spacing w:before="160"/>
      </w:pPr>
      <w:r>
        <w:rPr>
          <w:rFonts w:ascii="Calibri" w:hAnsi="Calibri"/>
          <w:i/>
          <w:sz w:val="18"/>
        </w:rPr>
        <w:t>Subscale recalibration. Youden-optimal cut-offs for the FBI Apathy/negative (items 1–12) and Disinhibition (items 13–24) subscales, against the multi-instrument consensus reference standard and against construct-matched ECAS/FrSBe subscales. AUC = area under the ROC curve. Bootstrap 95% CI from 2000 stratified resamples.</w:t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