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sz w:val="22"/>
        </w:rPr>
        <w:t>Table 4. Agreement (Cohen’s κ) against six reference standards.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Reference standard</w:t>
            </w:r>
          </w:p>
        </w:tc>
        <w:tc>
          <w:tcPr>
            <w:tcW w:type="dxa" w:w="1704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n</w:t>
            </w:r>
          </w:p>
        </w:tc>
        <w:tc>
          <w:tcPr>
            <w:tcW w:type="dxa" w:w="1704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Sens. at ≥9</w:t>
            </w:r>
          </w:p>
        </w:tc>
        <w:tc>
          <w:tcPr>
            <w:tcW w:type="dxa" w:w="1704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κ at ≥9</w:t>
            </w:r>
          </w:p>
        </w:tc>
        <w:tc>
          <w:tcPr>
            <w:tcW w:type="dxa" w:w="1704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κ at ≥25</w:t>
            </w:r>
          </w:p>
        </w:tc>
        <w:tc>
          <w:tcPr>
            <w:tcW w:type="dxa" w:w="1704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Δκ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/>
                <w:b w:val="0"/>
                <w:sz w:val="20"/>
              </w:rPr>
              <w:t>ECAS-behavioural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345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0.750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+0.331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+0.167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+0.164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/>
                <w:b w:val="0"/>
                <w:sz w:val="20"/>
              </w:rPr>
              <w:t>FrSBe total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345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0.857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+0.367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+0.214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+0.153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/>
                <w:b w:val="0"/>
                <w:sz w:val="20"/>
              </w:rPr>
              <w:t>BBI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345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0.736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+0.558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+0.156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+0.402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/>
                <w:b w:val="0"/>
                <w:sz w:val="20"/>
              </w:rPr>
              <w:t>Consensus ≥2/3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345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0.871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+0.497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+0.263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+0.234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/>
                <w:b w:val="0"/>
                <w:sz w:val="20"/>
              </w:rPr>
              <w:t>LCA-3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345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0.735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+0.565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+0.151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+0.415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/>
                <w:b w:val="0"/>
                <w:sz w:val="20"/>
              </w:rPr>
              <w:t>LCA-7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345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0.804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+0.521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+0.142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+0.380</w:t>
            </w:r>
          </w:p>
        </w:tc>
      </w:tr>
    </w:tbl>
    <w:p>
      <w:pPr>
        <w:spacing w:before="160"/>
      </w:pPr>
      <w:r>
        <w:rPr>
          <w:rFonts w:ascii="Calibri" w:hAnsi="Calibri"/>
          <w:i/>
          <w:sz w:val="18"/>
        </w:rPr>
        <w:t>Cohen’s κ of the dichotomised FBI total against six reference standards, at the proposed (≥9) and legacy (≥25) cut-offs. Δκ = improvement with the new cut-off. n = 345 for all comparisons.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