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sz w:val="22"/>
        </w:rPr>
        <w:t>Table 5. Sensitivity analysis — bulbar vs spinal onset.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rFonts w:ascii="Calibri" w:hAnsi="Calibri"/>
                <w:b/>
                <w:sz w:val="20"/>
              </w:rPr>
              <w:t>Subgroup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n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Gold prevalence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AUC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Youden cut-off (95% CI)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Sens / Spec / κ at ≥9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Sens / Spec / κ at ≥25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FBI mean ± SD (median)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Bulbar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31.6%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0.873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≥ 15 (7–15)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0.88 / 0.73 / +0.539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0.29 / 0.98 / +0.332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10.80 ± 11.48 (7)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Spinal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197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25.4%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0.861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≥ 9 (8–12)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0.84 / 0.78 / +0.537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0.20 / 0.98 / +0.238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8.49 ± 8.41 (6)</w:t>
            </w:r>
          </w:p>
        </w:tc>
      </w:tr>
    </w:tbl>
    <w:p>
      <w:pPr>
        <w:spacing w:before="160"/>
      </w:pPr>
      <w:r>
        <w:rPr>
          <w:rFonts w:ascii="Calibri" w:hAnsi="Calibri"/>
          <w:i/>
          <w:sz w:val="18"/>
        </w:rPr>
        <w:t>Sensitivity analysis: FBI performance stratified by site of onset (bulbar vs spinal). Supplementary table — not one of the manuscript’s four numbered tables; renumber/integrate as appropriate (e.g. as Supplementary Table S1) when assembling the submission.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