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Calibri" w:hAnsi="Calibri"/>
          <w:b/>
          <w:sz w:val="22"/>
        </w:rPr>
        <w:t>Table 7. Spearman correlations between FBI scores and ALSFRS-R domain scores.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ALSFRS-R domain</w:t>
            </w:r>
          </w:p>
        </w:tc>
        <w:tc>
          <w:tcPr>
            <w:tcW w:type="dxa" w:w="127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n</w:t>
            </w:r>
          </w:p>
        </w:tc>
        <w:tc>
          <w:tcPr>
            <w:tcW w:type="dxa" w:w="127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FBI total rho (95% CI)</w:t>
            </w:r>
          </w:p>
        </w:tc>
        <w:tc>
          <w:tcPr>
            <w:tcW w:type="dxa" w:w="127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FBI total p</w:t>
            </w:r>
          </w:p>
        </w:tc>
        <w:tc>
          <w:tcPr>
            <w:tcW w:type="dxa" w:w="127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FBI Apathy rho (95% CI)</w:t>
            </w:r>
          </w:p>
        </w:tc>
        <w:tc>
          <w:tcPr>
            <w:tcW w:type="dxa" w:w="127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FBI Apathy p</w:t>
            </w:r>
          </w:p>
        </w:tc>
        <w:tc>
          <w:tcPr>
            <w:tcW w:type="dxa" w:w="127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FBI Disinhibition rho (95% CI)</w:t>
            </w:r>
          </w:p>
        </w:tc>
        <w:tc>
          <w:tcPr>
            <w:tcW w:type="dxa" w:w="1278"/>
            <w:shd w:val="clear" w:color="auto" w:fill="D9E2F3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sz w:val="18"/>
              </w:rPr>
              <w:t>FBI Disinhibition p</w:t>
            </w:r>
          </w:p>
        </w:tc>
      </w:tr>
      <w:tr>
        <w:tc>
          <w:tcPr>
            <w:tcW w:type="dxa" w:w="1278"/>
          </w:tcPr>
          <w:p>
            <w:r/>
            <w:r>
              <w:rPr>
                <w:rFonts w:ascii="Calibri" w:hAnsi="Calibri"/>
                <w:b w:val="0"/>
                <w:sz w:val="18"/>
              </w:rPr>
              <w:t>Total (only, CSV path)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247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-0.217 [-0.334, -0.084]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0.001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-0.218 [-0.331, -0.091]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0.001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-0.142 [-0.263, -0.016]</w:t>
            </w:r>
          </w:p>
        </w:tc>
        <w:tc>
          <w:tcPr>
            <w:tcW w:type="dxa" w:w="1278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0.026</w:t>
            </w:r>
          </w:p>
        </w:tc>
      </w:tr>
    </w:tbl>
    <w:p>
      <w:pPr>
        <w:spacing w:before="120"/>
      </w:pPr>
      <w:r>
        <w:rPr>
          <w:rFonts w:ascii="Calibri" w:hAnsi="Calibri"/>
          <w:i/>
          <w:sz w:val="18"/>
        </w:rPr>
        <w:t>Spearman rho with bootstrap 95% CI (1000 stratified resamples). ALSFRS-R higher = better function; negative rho indicates worse motor function associated with higher FBI scores. The threshold |rho| &lt; 0.30 is the conventional criterion for absence of substantial method overlap (Streiner &amp; Norman 2008; Gosselt et al. 2020). * flags |rho| &gt;= 0.30.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