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sz w:val="22"/>
        </w:rPr>
        <w:t>Table 8. Distribution of FBI scores across decision bands.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FBI score band</w:t>
            </w:r>
          </w:p>
        </w:tc>
        <w:tc>
          <w:tcPr>
            <w:tcW w:type="dxa" w:w="2556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</w:t>
            </w:r>
          </w:p>
        </w:tc>
        <w:tc>
          <w:tcPr>
            <w:tcW w:type="dxa" w:w="2556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Impaired, n (%)</w:t>
            </w:r>
          </w:p>
        </w:tc>
        <w:tc>
          <w:tcPr>
            <w:tcW w:type="dxa" w:w="2556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Wilson 95% CI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18"/>
              </w:rPr>
              <w:t>FBI &lt; 9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203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(5.4%)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3.1%–9.4%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18"/>
              </w:rPr>
              <w:t>FBI 9-11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(33.3%)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20.2%–49.7%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18"/>
              </w:rPr>
              <w:t>FBI 9-14 (grey zone)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(29.5%)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19.6%–41.9%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18"/>
              </w:rPr>
              <w:t>FBI 12-14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(24.0%)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11.5%–43.4%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18"/>
              </w:rPr>
              <w:t>FBI &gt;= 15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56 (69.1%)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58.4%–78.1%</w:t>
            </w:r>
          </w:p>
        </w:tc>
      </w:tr>
    </w:tbl>
    <w:p>
      <w:pPr>
        <w:spacing w:before="120"/>
      </w:pPr>
      <w:r>
        <w:rPr>
          <w:rFonts w:ascii="Calibri" w:hAnsi="Calibri"/>
          <w:i/>
          <w:sz w:val="18"/>
        </w:rPr>
        <w:t>Complete-case subset (n = 345). Consensus-impaired = flagged by ≥2 of 3 FBI-independent instruments (ECAS-behavioural, FrSBe, BBI). Wilson (1927) score 95% confidence intervals are used instead of the normal-approximation interval because some bands contain few patients.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