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22"/>
        </w:rPr>
        <w:t>Table 9. Net benefit at representative threshold probabilities (Decision Curve Analysis).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Strategy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0.10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0.20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0.25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0.30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0.40</w:t>
            </w:r>
          </w:p>
        </w:tc>
        <w:tc>
          <w:tcPr>
            <w:tcW w:type="dxa" w:w="14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pt = 0.50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alibri" w:hAnsi="Calibri"/>
                <w:b w:val="0"/>
                <w:sz w:val="18"/>
              </w:rPr>
              <w:t>Continuous FBI*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+0.1875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+0.1544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+0.1372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+0.1249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+0.1137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+0.0756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alibri" w:hAnsi="Calibri"/>
                <w:b w:val="0"/>
                <w:sz w:val="18"/>
              </w:rPr>
              <w:t>FBI &gt;= 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+0.1928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+0.1653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+0.1487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+0.1298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+0.0823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+0.0180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alibri" w:hAnsi="Calibri"/>
                <w:b w:val="0"/>
                <w:sz w:val="18"/>
              </w:rPr>
              <w:t>FBI &gt;= 12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+0.1657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+0.1479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+0.1372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+0.1249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+0.0942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+0.0526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alibri" w:hAnsi="Calibri"/>
                <w:b w:val="0"/>
                <w:sz w:val="18"/>
              </w:rPr>
              <w:t>FBI &gt;= 25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+0.0532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+0.0507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+0.0493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+0.0476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+0.0434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+0.0377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alibri" w:hAnsi="Calibri"/>
                <w:b w:val="0"/>
                <w:sz w:val="18"/>
              </w:rPr>
              <w:t>Treat all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+0.1636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+0.0583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-0.0050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-0.0775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-0.2589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-0.5048</w:t>
            </w:r>
          </w:p>
        </w:tc>
      </w:tr>
    </w:tbl>
    <w:p>
      <w:pPr>
        <w:spacing w:before="120"/>
      </w:pPr>
      <w:r>
        <w:rPr>
          <w:rFonts w:ascii="Calibri" w:hAnsi="Calibri"/>
          <w:i/>
          <w:sz w:val="18"/>
        </w:rPr>
        <w:t>Net benefit NB(pt) = TP/N − (FP/N) × pt/(1−pt). Higher NB = greater clinical utility. Treat-none NB is always 0 (not shown). * Continuous FBI NB is optimistic: the logistic model is estimated and evaluated on the same sample (n = 345), whereas the fixed cut-off strategies have no free parameters and are thus unaffected by in-sample overfitting.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