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/>
      </w:pPr>
      <w:r>
        <w:rPr>
          <w:b/>
          <w:color w:val="2E4057"/>
          <w:sz w:val="26"/>
        </w:rPr>
        <w:t>Table 6 – Sensitivity Analysis by Motor Severity (ALSFRS-R)</w:t>
      </w:r>
    </w:p>
    <w:p>
      <w:pPr>
        <w:spacing w:after="160" w:before="0"/>
      </w:pPr>
      <w:r>
        <w:rPr>
          <w:color w:val="555555"/>
          <w:sz w:val="18"/>
        </w:rPr>
        <w:t>ROC recalibration of the FBI total cut-off stratified by ALSFRS-R severity (mild: ALSFRS-R &gt; 35; moderate-severe: ALSFRS-R ≤ 35). AUC and Youden cut-off 95 % CIs are bootstrap-based (2 000 iterations). κ = Cohen’s kappa.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67"/>
        <w:gridCol w:w="1167"/>
        <w:gridCol w:w="1167"/>
        <w:gridCol w:w="1167"/>
        <w:gridCol w:w="1167"/>
        <w:gridCol w:w="1167"/>
        <w:gridCol w:w="1167"/>
        <w:gridCol w:w="1167"/>
        <w:gridCol w:w="1167"/>
        <w:gridCol w:w="1167"/>
        <w:gridCol w:w="1167"/>
        <w:gridCol w:w="1167"/>
      </w:tblGrid>
      <w:tr>
        <w:tc>
          <w:tcPr>
            <w:tcW w:type="dxa" w:w="1167"/>
            <w:tcW w:w="3118" w:type="dxa"/>
            <w:shd w:val="clear" w:color="auto" w:fill="2E4057"/>
            <w:tcBorders>
              <w:top w:val="single" w:sz="12" w:color="2E4057"/>
              <w:bottom w:val="single" w:sz="12" w:color="2E4057"/>
              <w:left w:val="none"/>
              <w:right w:val="none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17"/>
              </w:rPr>
              <w:t>Subgroup</w:t>
            </w:r>
          </w:p>
        </w:tc>
        <w:tc>
          <w:tcPr>
            <w:tcW w:type="dxa" w:w="1167"/>
            <w:tcW w:w="567" w:type="dxa"/>
            <w:shd w:val="clear" w:color="auto" w:fill="2E4057"/>
            <w:tcBorders>
              <w:top w:val="single" w:sz="12" w:color="2E4057"/>
              <w:bottom w:val="single" w:sz="12" w:color="2E4057"/>
              <w:left w:val="none"/>
              <w:right w:val="none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7"/>
              </w:rPr>
              <w:t>n</w:t>
            </w:r>
          </w:p>
        </w:tc>
        <w:tc>
          <w:tcPr>
            <w:tcW w:type="dxa" w:w="1167"/>
            <w:tcW w:w="850" w:type="dxa"/>
            <w:shd w:val="clear" w:color="auto" w:fill="2E4057"/>
            <w:tcBorders>
              <w:top w:val="single" w:sz="12" w:color="2E4057"/>
              <w:bottom w:val="single" w:sz="12" w:color="2E4057"/>
              <w:left w:val="none"/>
              <w:right w:val="none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7"/>
              </w:rPr>
              <w:t>Gold prev.</w:t>
            </w:r>
          </w:p>
        </w:tc>
        <w:tc>
          <w:tcPr>
            <w:tcW w:type="dxa" w:w="1167"/>
            <w:tcW w:w="793" w:type="dxa"/>
            <w:shd w:val="clear" w:color="auto" w:fill="2E4057"/>
            <w:tcBorders>
              <w:top w:val="single" w:sz="12" w:color="2E4057"/>
              <w:bottom w:val="single" w:sz="12" w:color="2E4057"/>
              <w:left w:val="none"/>
              <w:right w:val="none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7"/>
              </w:rPr>
              <w:t>AUC</w:t>
            </w:r>
          </w:p>
        </w:tc>
        <w:tc>
          <w:tcPr>
            <w:tcW w:type="dxa" w:w="1167"/>
            <w:tcW w:w="1360" w:type="dxa"/>
            <w:shd w:val="clear" w:color="auto" w:fill="2E4057"/>
            <w:tcBorders>
              <w:top w:val="single" w:sz="12" w:color="2E4057"/>
              <w:bottom w:val="single" w:sz="12" w:color="2E4057"/>
              <w:left w:val="none"/>
              <w:right w:val="none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7"/>
              </w:rPr>
              <w:t>AUC 95% CI</w:t>
            </w:r>
          </w:p>
        </w:tc>
        <w:tc>
          <w:tcPr>
            <w:tcW w:type="dxa" w:w="1167"/>
            <w:tcW w:w="793" w:type="dxa"/>
            <w:shd w:val="clear" w:color="auto" w:fill="2E4057"/>
            <w:tcBorders>
              <w:top w:val="single" w:sz="12" w:color="2E4057"/>
              <w:bottom w:val="single" w:sz="12" w:color="2E4057"/>
              <w:left w:val="none"/>
              <w:right w:val="none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7"/>
              </w:rPr>
              <w:t>Youden cut</w:t>
            </w:r>
          </w:p>
        </w:tc>
        <w:tc>
          <w:tcPr>
            <w:tcW w:type="dxa" w:w="1167"/>
            <w:tcW w:w="1020" w:type="dxa"/>
            <w:shd w:val="clear" w:color="auto" w:fill="2E4057"/>
            <w:tcBorders>
              <w:top w:val="single" w:sz="12" w:color="2E4057"/>
              <w:bottom w:val="single" w:sz="12" w:color="2E4057"/>
              <w:left w:val="none"/>
              <w:right w:val="none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7"/>
              </w:rPr>
              <w:t>Cut 95% CI</w:t>
            </w:r>
          </w:p>
        </w:tc>
        <w:tc>
          <w:tcPr>
            <w:tcW w:type="dxa" w:w="1167"/>
            <w:tcW w:w="737" w:type="dxa"/>
            <w:shd w:val="clear" w:color="auto" w:fill="2E4057"/>
            <w:tcBorders>
              <w:top w:val="single" w:sz="12" w:color="2E4057"/>
              <w:bottom w:val="single" w:sz="12" w:color="2E4057"/>
              <w:left w:val="none"/>
              <w:right w:val="none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7"/>
              </w:rPr>
              <w:t>Sens @9</w:t>
            </w:r>
          </w:p>
        </w:tc>
        <w:tc>
          <w:tcPr>
            <w:tcW w:type="dxa" w:w="1167"/>
            <w:tcW w:w="737" w:type="dxa"/>
            <w:shd w:val="clear" w:color="auto" w:fill="2E4057"/>
            <w:tcBorders>
              <w:top w:val="single" w:sz="12" w:color="2E4057"/>
              <w:bottom w:val="single" w:sz="12" w:color="2E4057"/>
              <w:left w:val="none"/>
              <w:right w:val="none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7"/>
              </w:rPr>
              <w:t>Spec @9</w:t>
            </w:r>
          </w:p>
        </w:tc>
        <w:tc>
          <w:tcPr>
            <w:tcW w:type="dxa" w:w="1167"/>
            <w:tcW w:w="737" w:type="dxa"/>
            <w:shd w:val="clear" w:color="auto" w:fill="2E4057"/>
            <w:tcBorders>
              <w:top w:val="single" w:sz="12" w:color="2E4057"/>
              <w:bottom w:val="single" w:sz="12" w:color="2E4057"/>
              <w:left w:val="none"/>
              <w:right w:val="none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7"/>
              </w:rPr>
              <w:t>κ @9</w:t>
            </w:r>
          </w:p>
        </w:tc>
        <w:tc>
          <w:tcPr>
            <w:tcW w:type="dxa" w:w="1167"/>
            <w:tcW w:w="737" w:type="dxa"/>
            <w:shd w:val="clear" w:color="auto" w:fill="2E4057"/>
            <w:tcBorders>
              <w:top w:val="single" w:sz="12" w:color="2E4057"/>
              <w:bottom w:val="single" w:sz="12" w:color="2E4057"/>
              <w:left w:val="none"/>
              <w:right w:val="none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7"/>
              </w:rPr>
              <w:t>Sens @25</w:t>
            </w:r>
          </w:p>
        </w:tc>
        <w:tc>
          <w:tcPr>
            <w:tcW w:type="dxa" w:w="1167"/>
            <w:tcW w:w="737" w:type="dxa"/>
            <w:shd w:val="clear" w:color="auto" w:fill="2E4057"/>
            <w:tcBorders>
              <w:top w:val="single" w:sz="12" w:color="2E4057"/>
              <w:bottom w:val="single" w:sz="12" w:color="2E4057"/>
              <w:left w:val="none"/>
              <w:right w:val="none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7"/>
              </w:rPr>
              <w:t>Spec @25</w:t>
            </w:r>
          </w:p>
        </w:tc>
      </w:tr>
      <w:tr>
        <w:tc>
          <w:tcPr>
            <w:tcW w:type="dxa" w:w="1167"/>
            <w:tcW w:w="3118" w:type="dxa"/>
            <w:shd w:val="clear" w:color="auto" w:fill="F2F4F6"/>
            <w:tcBorders>
              <w:top w:val="single" w:sz="4" w:color="BBBBBB"/>
              <w:bottom w:val="single" w:sz="4" w:color="BBBBBB"/>
              <w:left w:val="none"/>
              <w:right w:val="none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color w:val="000000"/>
                <w:sz w:val="17"/>
              </w:rPr>
              <w:t>Mild (ALSFRS-R &gt;35)</w:t>
            </w:r>
          </w:p>
        </w:tc>
        <w:tc>
          <w:tcPr>
            <w:tcW w:type="dxa" w:w="1167"/>
            <w:tcW w:w="567" w:type="dxa"/>
            <w:shd w:val="clear" w:color="auto" w:fill="F2F4F6"/>
            <w:tcBorders>
              <w:top w:val="single" w:sz="4" w:color="BBBBBB"/>
              <w:bottom w:val="single" w:sz="4" w:color="BBBBBB"/>
              <w:left w:val="none"/>
              <w:right w:val="none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color w:val="000000"/>
                <w:sz w:val="17"/>
              </w:rPr>
              <w:t>187</w:t>
            </w:r>
          </w:p>
        </w:tc>
        <w:tc>
          <w:tcPr>
            <w:tcW w:type="dxa" w:w="1167"/>
            <w:tcW w:w="850" w:type="dxa"/>
            <w:shd w:val="clear" w:color="auto" w:fill="F2F4F6"/>
            <w:tcBorders>
              <w:top w:val="single" w:sz="4" w:color="BBBBBB"/>
              <w:bottom w:val="single" w:sz="4" w:color="BBBBBB"/>
              <w:left w:val="none"/>
              <w:right w:val="none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color w:val="000000"/>
                <w:sz w:val="17"/>
              </w:rPr>
              <w:t>24.6%</w:t>
            </w:r>
          </w:p>
        </w:tc>
        <w:tc>
          <w:tcPr>
            <w:tcW w:type="dxa" w:w="1167"/>
            <w:tcW w:w="793" w:type="dxa"/>
            <w:shd w:val="clear" w:color="auto" w:fill="F2F4F6"/>
            <w:tcBorders>
              <w:top w:val="single" w:sz="4" w:color="BBBBBB"/>
              <w:bottom w:val="single" w:sz="4" w:color="BBBBBB"/>
              <w:left w:val="none"/>
              <w:right w:val="none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color w:val="000000"/>
                <w:sz w:val="17"/>
              </w:rPr>
              <w:t>0.8639</w:t>
            </w:r>
          </w:p>
        </w:tc>
        <w:tc>
          <w:tcPr>
            <w:tcW w:type="dxa" w:w="1167"/>
            <w:tcW w:w="1360" w:type="dxa"/>
            <w:shd w:val="clear" w:color="auto" w:fill="F2F4F6"/>
            <w:tcBorders>
              <w:top w:val="single" w:sz="4" w:color="BBBBBB"/>
              <w:bottom w:val="single" w:sz="4" w:color="BBBBBB"/>
              <w:left w:val="none"/>
              <w:right w:val="none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color w:val="000000"/>
                <w:sz w:val="17"/>
              </w:rPr>
              <w:t>0.7953–0.9223</w:t>
            </w:r>
          </w:p>
        </w:tc>
        <w:tc>
          <w:tcPr>
            <w:tcW w:type="dxa" w:w="1167"/>
            <w:tcW w:w="793" w:type="dxa"/>
            <w:shd w:val="clear" w:color="auto" w:fill="F2F4F6"/>
            <w:tcBorders>
              <w:top w:val="single" w:sz="4" w:color="BBBBBB"/>
              <w:bottom w:val="single" w:sz="4" w:color="BBBBBB"/>
              <w:left w:val="none"/>
              <w:right w:val="none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color w:val="000000"/>
                <w:sz w:val="17"/>
              </w:rPr>
              <w:t>9</w:t>
            </w:r>
          </w:p>
        </w:tc>
        <w:tc>
          <w:tcPr>
            <w:tcW w:type="dxa" w:w="1167"/>
            <w:tcW w:w="1020" w:type="dxa"/>
            <w:shd w:val="clear" w:color="auto" w:fill="F2F4F6"/>
            <w:tcBorders>
              <w:top w:val="single" w:sz="4" w:color="BBBBBB"/>
              <w:bottom w:val="single" w:sz="4" w:color="BBBBBB"/>
              <w:left w:val="none"/>
              <w:right w:val="none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color w:val="000000"/>
                <w:sz w:val="17"/>
              </w:rPr>
              <w:t>7–15</w:t>
            </w:r>
          </w:p>
        </w:tc>
        <w:tc>
          <w:tcPr>
            <w:tcW w:type="dxa" w:w="1167"/>
            <w:tcW w:w="737" w:type="dxa"/>
            <w:shd w:val="clear" w:color="auto" w:fill="F2F4F6"/>
            <w:tcBorders>
              <w:top w:val="single" w:sz="4" w:color="BBBBBB"/>
              <w:bottom w:val="single" w:sz="4" w:color="BBBBBB"/>
              <w:left w:val="none"/>
              <w:right w:val="none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color w:val="000000"/>
                <w:sz w:val="17"/>
              </w:rPr>
              <w:t>0.804</w:t>
            </w:r>
          </w:p>
        </w:tc>
        <w:tc>
          <w:tcPr>
            <w:tcW w:type="dxa" w:w="1167"/>
            <w:tcW w:w="737" w:type="dxa"/>
            <w:shd w:val="clear" w:color="auto" w:fill="F2F4F6"/>
            <w:tcBorders>
              <w:top w:val="single" w:sz="4" w:color="BBBBBB"/>
              <w:bottom w:val="single" w:sz="4" w:color="BBBBBB"/>
              <w:left w:val="none"/>
              <w:right w:val="none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color w:val="000000"/>
                <w:sz w:val="17"/>
              </w:rPr>
              <w:t>0.816</w:t>
            </w:r>
          </w:p>
        </w:tc>
        <w:tc>
          <w:tcPr>
            <w:tcW w:type="dxa" w:w="1167"/>
            <w:tcW w:w="737" w:type="dxa"/>
            <w:shd w:val="clear" w:color="auto" w:fill="F2F4F6"/>
            <w:tcBorders>
              <w:top w:val="single" w:sz="4" w:color="BBBBBB"/>
              <w:bottom w:val="single" w:sz="4" w:color="BBBBBB"/>
              <w:left w:val="none"/>
              <w:right w:val="none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color w:val="000000"/>
                <w:sz w:val="17"/>
              </w:rPr>
              <w:t>+0.551</w:t>
            </w:r>
          </w:p>
        </w:tc>
        <w:tc>
          <w:tcPr>
            <w:tcW w:type="dxa" w:w="1167"/>
            <w:tcW w:w="737" w:type="dxa"/>
            <w:shd w:val="clear" w:color="auto" w:fill="F2F4F6"/>
            <w:tcBorders>
              <w:top w:val="single" w:sz="4" w:color="BBBBBB"/>
              <w:bottom w:val="single" w:sz="4" w:color="BBBBBB"/>
              <w:left w:val="none"/>
              <w:right w:val="none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color w:val="000000"/>
                <w:sz w:val="17"/>
              </w:rPr>
              <w:t>0.217</w:t>
            </w:r>
          </w:p>
        </w:tc>
        <w:tc>
          <w:tcPr>
            <w:tcW w:type="dxa" w:w="1167"/>
            <w:tcW w:w="737" w:type="dxa"/>
            <w:shd w:val="clear" w:color="auto" w:fill="F2F4F6"/>
            <w:tcBorders>
              <w:top w:val="single" w:sz="4" w:color="BBBBBB"/>
              <w:bottom w:val="single" w:sz="4" w:color="BBBBBB"/>
              <w:left w:val="none"/>
              <w:right w:val="none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color w:val="000000"/>
                <w:sz w:val="17"/>
              </w:rPr>
              <w:t>0.979</w:t>
            </w:r>
          </w:p>
        </w:tc>
      </w:tr>
      <w:tr>
        <w:tc>
          <w:tcPr>
            <w:tcW w:type="dxa" w:w="1167"/>
            <w:tcW w:w="3118" w:type="dxa"/>
            <w:shd w:val="clear" w:color="auto" w:fill="FFFFFF"/>
            <w:tcBorders>
              <w:top w:val="single" w:sz="4" w:color="BBBBBB"/>
              <w:bottom w:val="single" w:sz="4" w:color="BBBBBB"/>
              <w:left w:val="none"/>
              <w:right w:val="none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color w:val="000000"/>
                <w:sz w:val="17"/>
              </w:rPr>
              <w:t>Moderate-severe (ALSFRS-R &lt;=35)</w:t>
            </w:r>
          </w:p>
        </w:tc>
        <w:tc>
          <w:tcPr>
            <w:tcW w:type="dxa" w:w="1167"/>
            <w:tcW w:w="567" w:type="dxa"/>
            <w:shd w:val="clear" w:color="auto" w:fill="FFFFFF"/>
            <w:tcBorders>
              <w:top w:val="single" w:sz="4" w:color="BBBBBB"/>
              <w:bottom w:val="single" w:sz="4" w:color="BBBBBB"/>
              <w:left w:val="none"/>
              <w:right w:val="none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color w:val="000000"/>
                <w:sz w:val="17"/>
              </w:rPr>
              <w:t>60</w:t>
            </w:r>
          </w:p>
        </w:tc>
        <w:tc>
          <w:tcPr>
            <w:tcW w:type="dxa" w:w="1167"/>
            <w:tcW w:w="850" w:type="dxa"/>
            <w:shd w:val="clear" w:color="auto" w:fill="FFFFFF"/>
            <w:tcBorders>
              <w:top w:val="single" w:sz="4" w:color="BBBBBB"/>
              <w:bottom w:val="single" w:sz="4" w:color="BBBBBB"/>
              <w:left w:val="none"/>
              <w:right w:val="none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color w:val="000000"/>
                <w:sz w:val="17"/>
              </w:rPr>
              <w:t>38.3%</w:t>
            </w:r>
          </w:p>
        </w:tc>
        <w:tc>
          <w:tcPr>
            <w:tcW w:type="dxa" w:w="1167"/>
            <w:tcW w:w="793" w:type="dxa"/>
            <w:shd w:val="clear" w:color="auto" w:fill="FFFFFF"/>
            <w:tcBorders>
              <w:top w:val="single" w:sz="4" w:color="BBBBBB"/>
              <w:bottom w:val="single" w:sz="4" w:color="BBBBBB"/>
              <w:left w:val="none"/>
              <w:right w:val="none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color w:val="000000"/>
                <w:sz w:val="17"/>
              </w:rPr>
              <w:t>0.8561</w:t>
            </w:r>
          </w:p>
        </w:tc>
        <w:tc>
          <w:tcPr>
            <w:tcW w:type="dxa" w:w="1167"/>
            <w:tcW w:w="1360" w:type="dxa"/>
            <w:shd w:val="clear" w:color="auto" w:fill="FFFFFF"/>
            <w:tcBorders>
              <w:top w:val="single" w:sz="4" w:color="BBBBBB"/>
              <w:bottom w:val="single" w:sz="4" w:color="BBBBBB"/>
              <w:left w:val="none"/>
              <w:right w:val="none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color w:val="000000"/>
                <w:sz w:val="17"/>
              </w:rPr>
              <w:t>0.7567–0.9418</w:t>
            </w:r>
          </w:p>
        </w:tc>
        <w:tc>
          <w:tcPr>
            <w:tcW w:type="dxa" w:w="1167"/>
            <w:tcW w:w="793" w:type="dxa"/>
            <w:shd w:val="clear" w:color="auto" w:fill="FFFFFF"/>
            <w:tcBorders>
              <w:top w:val="single" w:sz="4" w:color="BBBBBB"/>
              <w:bottom w:val="single" w:sz="4" w:color="BBBBBB"/>
              <w:left w:val="none"/>
              <w:right w:val="none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color w:val="000000"/>
                <w:sz w:val="17"/>
              </w:rPr>
              <w:t>12</w:t>
            </w:r>
          </w:p>
        </w:tc>
        <w:tc>
          <w:tcPr>
            <w:tcW w:type="dxa" w:w="1167"/>
            <w:tcW w:w="1020" w:type="dxa"/>
            <w:shd w:val="clear" w:color="auto" w:fill="FFFFFF"/>
            <w:tcBorders>
              <w:top w:val="single" w:sz="4" w:color="BBBBBB"/>
              <w:bottom w:val="single" w:sz="4" w:color="BBBBBB"/>
              <w:left w:val="none"/>
              <w:right w:val="none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color w:val="000000"/>
                <w:sz w:val="17"/>
              </w:rPr>
              <w:t>8–19</w:t>
            </w:r>
          </w:p>
        </w:tc>
        <w:tc>
          <w:tcPr>
            <w:tcW w:type="dxa" w:w="1167"/>
            <w:tcW w:w="737" w:type="dxa"/>
            <w:shd w:val="clear" w:color="auto" w:fill="FFFFFF"/>
            <w:tcBorders>
              <w:top w:val="single" w:sz="4" w:color="BBBBBB"/>
              <w:bottom w:val="single" w:sz="4" w:color="BBBBBB"/>
              <w:left w:val="none"/>
              <w:right w:val="none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color w:val="000000"/>
                <w:sz w:val="17"/>
              </w:rPr>
              <w:t>0.913</w:t>
            </w:r>
          </w:p>
        </w:tc>
        <w:tc>
          <w:tcPr>
            <w:tcW w:type="dxa" w:w="1167"/>
            <w:tcW w:w="737" w:type="dxa"/>
            <w:shd w:val="clear" w:color="auto" w:fill="FFFFFF"/>
            <w:tcBorders>
              <w:top w:val="single" w:sz="4" w:color="BBBBBB"/>
              <w:bottom w:val="single" w:sz="4" w:color="BBBBBB"/>
              <w:left w:val="none"/>
              <w:right w:val="none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color w:val="000000"/>
                <w:sz w:val="17"/>
              </w:rPr>
              <w:t>0.649</w:t>
            </w:r>
          </w:p>
        </w:tc>
        <w:tc>
          <w:tcPr>
            <w:tcW w:type="dxa" w:w="1167"/>
            <w:tcW w:w="737" w:type="dxa"/>
            <w:shd w:val="clear" w:color="auto" w:fill="FFFFFF"/>
            <w:tcBorders>
              <w:top w:val="single" w:sz="4" w:color="BBBBBB"/>
              <w:bottom w:val="single" w:sz="4" w:color="BBBBBB"/>
              <w:left w:val="none"/>
              <w:right w:val="none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color w:val="000000"/>
                <w:sz w:val="17"/>
              </w:rPr>
              <w:t>+0.515</w:t>
            </w:r>
          </w:p>
        </w:tc>
        <w:tc>
          <w:tcPr>
            <w:tcW w:type="dxa" w:w="1167"/>
            <w:tcW w:w="737" w:type="dxa"/>
            <w:shd w:val="clear" w:color="auto" w:fill="FFFFFF"/>
            <w:tcBorders>
              <w:top w:val="single" w:sz="4" w:color="BBBBBB"/>
              <w:bottom w:val="single" w:sz="4" w:color="BBBBBB"/>
              <w:left w:val="none"/>
              <w:right w:val="none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color w:val="000000"/>
                <w:sz w:val="17"/>
              </w:rPr>
              <w:t>0.304</w:t>
            </w:r>
          </w:p>
        </w:tc>
        <w:tc>
          <w:tcPr>
            <w:tcW w:type="dxa" w:w="1167"/>
            <w:tcW w:w="737" w:type="dxa"/>
            <w:shd w:val="clear" w:color="auto" w:fill="FFFFFF"/>
            <w:tcBorders>
              <w:top w:val="single" w:sz="4" w:color="BBBBBB"/>
              <w:bottom w:val="single" w:sz="4" w:color="BBBBBB"/>
              <w:left w:val="none"/>
              <w:right w:val="none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color w:val="000000"/>
                <w:sz w:val="17"/>
              </w:rPr>
              <w:t>1.000</w:t>
            </w:r>
          </w:p>
        </w:tc>
      </w:tr>
    </w:tbl>
    <w:p>
      <w:pPr>
        <w:spacing w:before="120" w:after="0"/>
      </w:pPr>
      <w:r>
        <w:rPr>
          <w:i/>
          <w:color w:val="777777"/>
          <w:sz w:val="16"/>
        </w:rPr>
        <w:t>Abbreviations: AUC, area under the ROC curve; CI, confidence interval; Sens, sensitivity; Spec, specificity; κ, Cohen’s kappa; @9 = FBI ≥ 9; @25 = FBI ≥ 25.</w:t>
      </w:r>
    </w:p>
    <w:sectPr w:rsidR="00FC693F" w:rsidRPr="0006063C" w:rsidSect="00034616">
      <w:pgSz w:w="16838" w:h="11906" w:orient="landscape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