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Manuscript tables generated from results/*.csv</w:t>
      </w:r>
    </w:p>
    <w:p>
      <w:r>
        <w:t>Table 1 (cohort characteristics) and Table 5 (detailed genetics, SOD1/TARDBP) are NOT included here: the underlying per-patient values are not present in the reduced results/*.csv files used by this script.</w:t>
      </w:r>
    </w:p>
    <w:p>
      <w:r>
        <w:rPr>
          <w:rFonts w:ascii="Times New Roman" w:hAnsi="Times New Roman"/>
          <w:b/>
          <w:sz w:val="24"/>
        </w:rPr>
        <w:t>Table — ECAS-CI (median [IQR])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Measure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Preserved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Cognitive-only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Behavioural-only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Severe/FTD</w:t>
            </w:r>
          </w:p>
        </w:tc>
        <w:tc>
          <w:tcPr>
            <w:tcW w:type="dxa" w:w="144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Kruskal-Wallis p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ECAS-CI total score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0.0 [0.0–2.0]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0.0 [0.0–2.0]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3.0 [0.0–5.0]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3.0 [1.0–6.0]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6.0e-18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ECAS-CI domains altered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0.0 [0.0–2.0]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0.0 [0.0–2.0]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2.0 [0.0–3.0]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2.0 [1.0–3.0]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2.4e-19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— FrSBe total (T-score) (median [IQR])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Measure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Preserved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Cognitive-only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Behavioural-only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Severe/FTD</w:t>
            </w:r>
          </w:p>
        </w:tc>
        <w:tc>
          <w:tcPr>
            <w:tcW w:type="dxa" w:w="144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Kruskal-Wallis p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FrSBe premorbid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44.0 [38.0–48.8]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44.0 [39.0–50.0]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59.0 [53.0–67.0]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56.0 [50.0–66.5]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9.8e-62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FrSBe post-illness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48.0 [42.0–54.8]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50.0 [44.0–56.0]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70.0 [64.0–77.5]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77.0 [67.0–91.5]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1.8e-108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FrSBe change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3.5 [1.0–7.0]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4.0 [1.0–8.0]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9.0 [3.0–18.0]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17.0 [9.0–27.5]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5.6e-34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— BBI (median [IQR])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88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Measure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Preserved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Cognitive-only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Behavioural-only</w:t>
            </w:r>
          </w:p>
        </w:tc>
        <w:tc>
          <w:tcPr>
            <w:tcW w:type="dxa" w:w="187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Severe/FTD</w:t>
            </w:r>
          </w:p>
        </w:tc>
        <w:tc>
          <w:tcPr>
            <w:tcW w:type="dxa" w:w="144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Kruskal-Wallis p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BBI premorbid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1.0 [0.0–3.0]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1.0 [0.0–4.0]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4.0 [1.0–11.0]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4.5 [0.0–11.5]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5.7e-10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BBI post-illness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6.0 [2.0–10.0]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7.0 [3.0–13.0]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16.0 [9.0–21.0]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22.5 [14.0–31.5]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1.1e-27</w:t>
            </w:r>
          </w:p>
        </w:tc>
      </w:tr>
      <w:tr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BBI change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4.0 [0.0–7.0]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3.0 [0.0–8.2]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7.0 [2.0–14.2]</w:t>
            </w:r>
          </w:p>
        </w:tc>
        <w:tc>
          <w:tcPr>
            <w:tcW w:type="dxa" w:w="187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16.5 [6.8–24.0]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5.2e-12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Table 4 — C9orf72 status by phenotype (BCH-adjusted)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0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Phenotype</w:t>
            </w:r>
          </w:p>
        </w:tc>
        <w:tc>
          <w:tcPr>
            <w:tcW w:type="dxa" w:w="288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C9orf72 prevalence (%)</w:t>
            </w:r>
          </w:p>
        </w:tc>
      </w:tr>
      <w:tr>
        <w:tc>
          <w:tcPr>
            <w:tcW w:type="dxa" w:w="360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Preserved</w:t>
            </w:r>
          </w:p>
        </w:tc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4.7</w:t>
            </w:r>
          </w:p>
        </w:tc>
      </w:tr>
      <w:tr>
        <w:tc>
          <w:tcPr>
            <w:tcW w:type="dxa" w:w="360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Cognitive-only</w:t>
            </w:r>
          </w:p>
        </w:tc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5.5</w:t>
            </w:r>
          </w:p>
        </w:tc>
      </w:tr>
      <w:tr>
        <w:tc>
          <w:tcPr>
            <w:tcW w:type="dxa" w:w="360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Behavioural-only</w:t>
            </w:r>
          </w:p>
        </w:tc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5.0</w:t>
            </w:r>
          </w:p>
        </w:tc>
      </w:tr>
      <w:tr>
        <w:tc>
          <w:tcPr>
            <w:tcW w:type="dxa" w:w="360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Severe/FTD</w:t>
            </w:r>
          </w:p>
        </w:tc>
        <w:tc>
          <w:tcPr>
            <w:tcW w:type="dxa" w:w="288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11.2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032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Comparison</w:t>
            </w:r>
          </w:p>
        </w:tc>
        <w:tc>
          <w:tcPr>
            <w:tcW w:type="dxa" w:w="144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OR</w:t>
            </w:r>
          </w:p>
        </w:tc>
        <w:tc>
          <w:tcPr>
            <w:tcW w:type="dxa" w:w="216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95% CI</w:t>
            </w:r>
          </w:p>
        </w:tc>
        <w:tc>
          <w:tcPr>
            <w:tcW w:type="dxa" w:w="1440"/>
            <w:shd w:val="clear" w:color="auto" w:fill="D9E2F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p</w:t>
            </w:r>
          </w:p>
        </w:tc>
      </w:tr>
      <w:tr>
        <w:tc>
          <w:tcPr>
            <w:tcW w:type="dxa" w:w="403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Severe/FTD vs Preserved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2.6</w:t>
            </w:r>
          </w:p>
        </w:tc>
        <w:tc>
          <w:tcPr>
            <w:tcW w:type="dxa" w:w="216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1.1–6.2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0.038</w:t>
            </w:r>
          </w:p>
        </w:tc>
      </w:tr>
      <w:tr>
        <w:tc>
          <w:tcPr>
            <w:tcW w:type="dxa" w:w="4032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Combined-impaired vs Preserved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216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0.7–2.8</w:t>
            </w:r>
          </w:p>
        </w:tc>
        <w:tc>
          <w:tcPr>
            <w:tcW w:type="dxa" w:w="1440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0.335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