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Table 1. Baseline characteristics of the primary analytic cohort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Overall (N = 2738)</w:t>
            </w:r>
          </w:p>
        </w:tc>
        <w:tc>
          <w:tcPr>
            <w:tcW w:type="dxa" w:w="1440"/>
          </w:tcPr>
          <w:p>
            <w:r>
              <w:t>M0 (N = 1797)</w:t>
            </w:r>
          </w:p>
        </w:tc>
        <w:tc>
          <w:tcPr>
            <w:tcW w:type="dxa" w:w="1440"/>
          </w:tcPr>
          <w:p>
            <w:r>
              <w:t>M1d (N = 353)</w:t>
            </w:r>
          </w:p>
        </w:tc>
        <w:tc>
          <w:tcPr>
            <w:tcW w:type="dxa" w:w="1440"/>
          </w:tcPr>
          <w:p>
            <w:r>
              <w:t>M2d (N = 588)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</w:tr>
      <w:tr>
        <w:tc>
          <w:tcPr>
            <w:tcW w:type="dxa" w:w="1440"/>
          </w:tcPr>
          <w:p>
            <w:r>
              <w:t>Demographics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Male sex, n (%)</w:t>
            </w:r>
          </w:p>
        </w:tc>
        <w:tc>
          <w:tcPr>
            <w:tcW w:type="dxa" w:w="1440"/>
          </w:tcPr>
          <w:p>
            <w:r>
              <w:t>1527 (55.8%)</w:t>
            </w:r>
          </w:p>
        </w:tc>
        <w:tc>
          <w:tcPr>
            <w:tcW w:type="dxa" w:w="1440"/>
          </w:tcPr>
          <w:p>
            <w:r>
              <w:t>988 (55.0%)</w:t>
            </w:r>
          </w:p>
        </w:tc>
        <w:tc>
          <w:tcPr>
            <w:tcW w:type="dxa" w:w="1440"/>
          </w:tcPr>
          <w:p>
            <w:r>
              <w:t>191 (54.1%)</w:t>
            </w:r>
          </w:p>
        </w:tc>
        <w:tc>
          <w:tcPr>
            <w:tcW w:type="dxa" w:w="1440"/>
          </w:tcPr>
          <w:p>
            <w:r>
              <w:t>348 (59.2%)</w:t>
            </w:r>
          </w:p>
        </w:tc>
        <w:tc>
          <w:tcPr>
            <w:tcW w:type="dxa" w:w="1440"/>
          </w:tcPr>
          <w:p>
            <w:r>
              <w:t>0.163</w:t>
            </w:r>
          </w:p>
        </w:tc>
      </w:tr>
      <w:tr>
        <w:tc>
          <w:tcPr>
            <w:tcW w:type="dxa" w:w="1440"/>
          </w:tcPr>
          <w:p>
            <w:r>
              <w:t>Age at onset, years</w:t>
            </w:r>
          </w:p>
        </w:tc>
        <w:tc>
          <w:tcPr>
            <w:tcW w:type="dxa" w:w="1440"/>
          </w:tcPr>
          <w:p>
            <w:r>
              <w:t>67.8 (59.8–74.4)</w:t>
            </w:r>
          </w:p>
        </w:tc>
        <w:tc>
          <w:tcPr>
            <w:tcW w:type="dxa" w:w="1440"/>
          </w:tcPr>
          <w:p>
            <w:r>
              <w:t>68.6 (60.8–75.2)</w:t>
            </w:r>
          </w:p>
        </w:tc>
        <w:tc>
          <w:tcPr>
            <w:tcW w:type="dxa" w:w="1440"/>
          </w:tcPr>
          <w:p>
            <w:r>
              <w:t>65.0 (54.9–72.2)</w:t>
            </w:r>
          </w:p>
        </w:tc>
        <w:tc>
          <w:tcPr>
            <w:tcW w:type="dxa" w:w="1440"/>
          </w:tcPr>
          <w:p>
            <w:r>
              <w:t>66.8 (59.8–72.9)</w:t>
            </w:r>
          </w:p>
        </w:tc>
        <w:tc>
          <w:tcPr>
            <w:tcW w:type="dxa" w:w="1440"/>
          </w:tcPr>
          <w:p>
            <w:r>
              <w:t>1.37e-08</w:t>
            </w:r>
          </w:p>
        </w:tc>
      </w:tr>
      <w:tr>
        <w:tc>
          <w:tcPr>
            <w:tcW w:type="dxa" w:w="1440"/>
          </w:tcPr>
          <w:p>
            <w:r>
              <w:t>Survival, months</w:t>
            </w:r>
          </w:p>
        </w:tc>
        <w:tc>
          <w:tcPr>
            <w:tcW w:type="dxa" w:w="1440"/>
          </w:tcPr>
          <w:p>
            <w:r>
              <w:t>29.9 (18.9–49.2)</w:t>
            </w:r>
          </w:p>
        </w:tc>
        <w:tc>
          <w:tcPr>
            <w:tcW w:type="dxa" w:w="1440"/>
          </w:tcPr>
          <w:p>
            <w:r>
              <w:t>27.0 (16.9–42.1)</w:t>
            </w:r>
          </w:p>
        </w:tc>
        <w:tc>
          <w:tcPr>
            <w:tcW w:type="dxa" w:w="1440"/>
          </w:tcPr>
          <w:p>
            <w:r>
              <w:t>41.9 (26.0–77.1)</w:t>
            </w:r>
          </w:p>
        </w:tc>
        <w:tc>
          <w:tcPr>
            <w:tcW w:type="dxa" w:w="1440"/>
          </w:tcPr>
          <w:p>
            <w:r>
              <w:t>36.0 (21.9–58.3)</w:t>
            </w:r>
          </w:p>
        </w:tc>
        <w:tc>
          <w:tcPr>
            <w:tcW w:type="dxa" w:w="1440"/>
          </w:tcPr>
          <w:p>
            <w:r>
              <w:t>1.41e-33</w:t>
            </w:r>
          </w:p>
        </w:tc>
      </w:tr>
      <w:tr>
        <w:tc>
          <w:tcPr>
            <w:tcW w:type="dxa" w:w="1440"/>
          </w:tcPr>
          <w:p>
            <w:r>
              <w:t>Events (death/trach.), n (%)</w:t>
            </w:r>
          </w:p>
        </w:tc>
        <w:tc>
          <w:tcPr>
            <w:tcW w:type="dxa" w:w="1440"/>
          </w:tcPr>
          <w:p>
            <w:r>
              <w:t>2561 (93.5%)</w:t>
            </w:r>
          </w:p>
        </w:tc>
        <w:tc>
          <w:tcPr>
            <w:tcW w:type="dxa" w:w="1440"/>
          </w:tcPr>
          <w:p>
            <w:r>
              <w:t>1697 (94.4%)</w:t>
            </w:r>
          </w:p>
        </w:tc>
        <w:tc>
          <w:tcPr>
            <w:tcW w:type="dxa" w:w="1440"/>
          </w:tcPr>
          <w:p>
            <w:r>
              <w:t>311 (88.1%)</w:t>
            </w:r>
          </w:p>
        </w:tc>
        <w:tc>
          <w:tcPr>
            <w:tcW w:type="dxa" w:w="1440"/>
          </w:tcPr>
          <w:p>
            <w:r>
              <w:t>553 (94.0%)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Propagation P1(n), months</w:t>
            </w:r>
          </w:p>
        </w:tc>
        <w:tc>
          <w:tcPr>
            <w:tcW w:type="dxa" w:w="1440"/>
          </w:tcPr>
          <w:p>
            <w:r>
              <w:t>9.0 (5.0–16.6)</w:t>
            </w:r>
          </w:p>
        </w:tc>
        <w:tc>
          <w:tcPr>
            <w:tcW w:type="dxa" w:w="1440"/>
          </w:tcPr>
          <w:p>
            <w:r>
              <w:t>8.5 (4.5–15.0)</w:t>
            </w:r>
          </w:p>
        </w:tc>
        <w:tc>
          <w:tcPr>
            <w:tcW w:type="dxa" w:w="1440"/>
          </w:tcPr>
          <w:p>
            <w:r>
              <w:t>10.1 (5.0–20.9)</w:t>
            </w:r>
          </w:p>
        </w:tc>
        <w:tc>
          <w:tcPr>
            <w:tcW w:type="dxa" w:w="1440"/>
          </w:tcPr>
          <w:p>
            <w:r>
              <w:t>11.7 (5.5–21.9)</w:t>
            </w:r>
          </w:p>
        </w:tc>
        <w:tc>
          <w:tcPr>
            <w:tcW w:type="dxa" w:w="1440"/>
          </w:tcPr>
          <w:p>
            <w:r>
              <w:t>5.53e-11</w:t>
            </w:r>
          </w:p>
        </w:tc>
      </w:tr>
      <w:tr>
        <w:tc>
          <w:tcPr>
            <w:tcW w:type="dxa" w:w="1440"/>
          </w:tcPr>
          <w:p>
            <w:r>
              <w:t>Onset region (OPM_O)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 xml:space="preserve">  O1</w:t>
            </w:r>
          </w:p>
        </w:tc>
        <w:tc>
          <w:tcPr>
            <w:tcW w:type="dxa" w:w="1440"/>
          </w:tcPr>
          <w:p>
            <w:r>
              <w:t>906 (33.1%)</w:t>
            </w:r>
          </w:p>
        </w:tc>
        <w:tc>
          <w:tcPr>
            <w:tcW w:type="dxa" w:w="1440"/>
          </w:tcPr>
          <w:p>
            <w:r>
              <w:t>806 (44.9%)</w:t>
            </w:r>
          </w:p>
        </w:tc>
        <w:tc>
          <w:tcPr>
            <w:tcW w:type="dxa" w:w="1440"/>
          </w:tcPr>
          <w:p>
            <w:r>
              <w:t>100 (28.3%)</w:t>
            </w:r>
          </w:p>
        </w:tc>
        <w:tc>
          <w:tcPr>
            <w:tcW w:type="dxa" w:w="1440"/>
          </w:tcPr>
          <w:p>
            <w:r>
              <w:t>0 (0.0%)</w:t>
            </w:r>
          </w:p>
        </w:tc>
        <w:tc>
          <w:tcPr>
            <w:tcW w:type="dxa" w:w="1440"/>
          </w:tcPr>
          <w:p>
            <w:r>
              <w:t>4.85e-89</w:t>
            </w:r>
          </w:p>
        </w:tc>
      </w:tr>
      <w:tr>
        <w:tc>
          <w:tcPr>
            <w:tcW w:type="dxa" w:w="1440"/>
          </w:tcPr>
          <w:p>
            <w:r>
              <w:t xml:space="preserve">  O2d</w:t>
            </w:r>
          </w:p>
        </w:tc>
        <w:tc>
          <w:tcPr>
            <w:tcW w:type="dxa" w:w="1440"/>
          </w:tcPr>
          <w:p>
            <w:r>
              <w:t>608 (22.2%)</w:t>
            </w:r>
          </w:p>
        </w:tc>
        <w:tc>
          <w:tcPr>
            <w:tcW w:type="dxa" w:w="1440"/>
          </w:tcPr>
          <w:p>
            <w:r>
              <w:t>552 (30.7%)</w:t>
            </w:r>
          </w:p>
        </w:tc>
        <w:tc>
          <w:tcPr>
            <w:tcW w:type="dxa" w:w="1440"/>
          </w:tcPr>
          <w:p>
            <w:r>
              <w:t>48 (13.6%)</w:t>
            </w:r>
          </w:p>
        </w:tc>
        <w:tc>
          <w:tcPr>
            <w:tcW w:type="dxa" w:w="1440"/>
          </w:tcPr>
          <w:p>
            <w:r>
              <w:t>8 (1.4%)</w:t>
            </w:r>
          </w:p>
        </w:tc>
        <w:tc>
          <w:tcPr>
            <w:tcW w:type="dxa" w:w="1440"/>
          </w:tcPr>
          <w:p>
            <w:r>
              <w:t>1.69e-52</w:t>
            </w:r>
          </w:p>
        </w:tc>
      </w:tr>
      <w:tr>
        <w:tc>
          <w:tcPr>
            <w:tcW w:type="dxa" w:w="1440"/>
          </w:tcPr>
          <w:p>
            <w:r>
              <w:t xml:space="preserve">  O2p</w:t>
            </w:r>
          </w:p>
        </w:tc>
        <w:tc>
          <w:tcPr>
            <w:tcW w:type="dxa" w:w="1440"/>
          </w:tcPr>
          <w:p>
            <w:r>
              <w:t>163 (6.0%)</w:t>
            </w:r>
          </w:p>
        </w:tc>
        <w:tc>
          <w:tcPr>
            <w:tcW w:type="dxa" w:w="1440"/>
          </w:tcPr>
          <w:p>
            <w:r>
              <w:t>3 (0.2%)</w:t>
            </w:r>
          </w:p>
        </w:tc>
        <w:tc>
          <w:tcPr>
            <w:tcW w:type="dxa" w:w="1440"/>
          </w:tcPr>
          <w:p>
            <w:r>
              <w:t>4 (1.1%)</w:t>
            </w:r>
          </w:p>
        </w:tc>
        <w:tc>
          <w:tcPr>
            <w:tcW w:type="dxa" w:w="1440"/>
          </w:tcPr>
          <w:p>
            <w:r>
              <w:t>156 (26.5%)</w:t>
            </w:r>
          </w:p>
        </w:tc>
        <w:tc>
          <w:tcPr>
            <w:tcW w:type="dxa" w:w="1440"/>
          </w:tcPr>
          <w:p>
            <w:r>
              <w:t>8.33e-124</w:t>
            </w:r>
          </w:p>
        </w:tc>
      </w:tr>
      <w:tr>
        <w:tc>
          <w:tcPr>
            <w:tcW w:type="dxa" w:w="1440"/>
          </w:tcPr>
          <w:p>
            <w:r>
              <w:t xml:space="preserve">  O2x</w:t>
            </w:r>
          </w:p>
        </w:tc>
        <w:tc>
          <w:tcPr>
            <w:tcW w:type="dxa" w:w="1440"/>
          </w:tcPr>
          <w:p>
            <w:r>
              <w:t>29 (1.1%)</w:t>
            </w:r>
          </w:p>
        </w:tc>
        <w:tc>
          <w:tcPr>
            <w:tcW w:type="dxa" w:w="1440"/>
          </w:tcPr>
          <w:p>
            <w:r>
              <w:t>24 (1.3%)</w:t>
            </w:r>
          </w:p>
        </w:tc>
        <w:tc>
          <w:tcPr>
            <w:tcW w:type="dxa" w:w="1440"/>
          </w:tcPr>
          <w:p>
            <w:r>
              <w:t>3 (0.8%)</w:t>
            </w:r>
          </w:p>
        </w:tc>
        <w:tc>
          <w:tcPr>
            <w:tcW w:type="dxa" w:w="1440"/>
          </w:tcPr>
          <w:p>
            <w:r>
              <w:t>2 (0.3%)</w:t>
            </w:r>
          </w:p>
        </w:tc>
        <w:tc>
          <w:tcPr>
            <w:tcW w:type="dxa" w:w="1440"/>
          </w:tcPr>
          <w:p>
            <w:r>
              <w:t>0.113</w:t>
            </w:r>
          </w:p>
        </w:tc>
      </w:tr>
      <w:tr>
        <w:tc>
          <w:tcPr>
            <w:tcW w:type="dxa" w:w="1440"/>
          </w:tcPr>
          <w:p>
            <w:r>
              <w:t xml:space="preserve">  O3r</w:t>
            </w:r>
          </w:p>
        </w:tc>
        <w:tc>
          <w:tcPr>
            <w:tcW w:type="dxa" w:w="1440"/>
          </w:tcPr>
          <w:p>
            <w:r>
              <w:t>62 (2.3%)</w:t>
            </w:r>
          </w:p>
        </w:tc>
        <w:tc>
          <w:tcPr>
            <w:tcW w:type="dxa" w:w="1440"/>
          </w:tcPr>
          <w:p>
            <w:r>
              <w:t>62 (3.5%)</w:t>
            </w:r>
          </w:p>
        </w:tc>
        <w:tc>
          <w:tcPr>
            <w:tcW w:type="dxa" w:w="1440"/>
          </w:tcPr>
          <w:p>
            <w:r>
              <w:t>0 (0.0%)</w:t>
            </w:r>
          </w:p>
        </w:tc>
        <w:tc>
          <w:tcPr>
            <w:tcW w:type="dxa" w:w="1440"/>
          </w:tcPr>
          <w:p>
            <w:r>
              <w:t>0 (0.0%)</w:t>
            </w:r>
          </w:p>
        </w:tc>
        <w:tc>
          <w:tcPr>
            <w:tcW w:type="dxa" w:w="1440"/>
          </w:tcPr>
          <w:p>
            <w:r>
              <w:t>6.12e-08</w:t>
            </w:r>
          </w:p>
        </w:tc>
      </w:tr>
      <w:tr>
        <w:tc>
          <w:tcPr>
            <w:tcW w:type="dxa" w:w="1440"/>
          </w:tcPr>
          <w:p>
            <w:r>
              <w:t xml:space="preserve">  O4d</w:t>
            </w:r>
          </w:p>
        </w:tc>
        <w:tc>
          <w:tcPr>
            <w:tcW w:type="dxa" w:w="1440"/>
          </w:tcPr>
          <w:p>
            <w:r>
              <w:t>863 (31.5%)</w:t>
            </w:r>
          </w:p>
        </w:tc>
        <w:tc>
          <w:tcPr>
            <w:tcW w:type="dxa" w:w="1440"/>
          </w:tcPr>
          <w:p>
            <w:r>
              <w:t>287 (16.0%)</w:t>
            </w:r>
          </w:p>
        </w:tc>
        <w:tc>
          <w:tcPr>
            <w:tcW w:type="dxa" w:w="1440"/>
          </w:tcPr>
          <w:p>
            <w:r>
              <w:t>180 (51.0%)</w:t>
            </w:r>
          </w:p>
        </w:tc>
        <w:tc>
          <w:tcPr>
            <w:tcW w:type="dxa" w:w="1440"/>
          </w:tcPr>
          <w:p>
            <w:r>
              <w:t>396 (67.3%)</w:t>
            </w:r>
          </w:p>
        </w:tc>
        <w:tc>
          <w:tcPr>
            <w:tcW w:type="dxa" w:w="1440"/>
          </w:tcPr>
          <w:p>
            <w:r>
              <w:t>7.93e-134</w:t>
            </w:r>
          </w:p>
        </w:tc>
      </w:tr>
      <w:tr>
        <w:tc>
          <w:tcPr>
            <w:tcW w:type="dxa" w:w="1440"/>
          </w:tcPr>
          <w:p>
            <w:r>
              <w:t xml:space="preserve">  O4p</w:t>
            </w:r>
          </w:p>
        </w:tc>
        <w:tc>
          <w:tcPr>
            <w:tcW w:type="dxa" w:w="1440"/>
          </w:tcPr>
          <w:p>
            <w:r>
              <w:t>91 (3.3%)</w:t>
            </w:r>
          </w:p>
        </w:tc>
        <w:tc>
          <w:tcPr>
            <w:tcW w:type="dxa" w:w="1440"/>
          </w:tcPr>
          <w:p>
            <w:r>
              <w:t>57 (3.2%)</w:t>
            </w:r>
          </w:p>
        </w:tc>
        <w:tc>
          <w:tcPr>
            <w:tcW w:type="dxa" w:w="1440"/>
          </w:tcPr>
          <w:p>
            <w:r>
              <w:t>15 (4.2%)</w:t>
            </w:r>
          </w:p>
        </w:tc>
        <w:tc>
          <w:tcPr>
            <w:tcW w:type="dxa" w:w="1440"/>
          </w:tcPr>
          <w:p>
            <w:r>
              <w:t>19 (3.2%)</w:t>
            </w:r>
          </w:p>
        </w:tc>
        <w:tc>
          <w:tcPr>
            <w:tcW w:type="dxa" w:w="1440"/>
          </w:tcPr>
          <w:p>
            <w:r>
              <w:t>0.581</w:t>
            </w:r>
          </w:p>
        </w:tc>
      </w:tr>
      <w:tr>
        <w:tc>
          <w:tcPr>
            <w:tcW w:type="dxa" w:w="1440"/>
          </w:tcPr>
          <w:p>
            <w:r>
              <w:t xml:space="preserve">  O4x</w:t>
            </w:r>
          </w:p>
        </w:tc>
        <w:tc>
          <w:tcPr>
            <w:tcW w:type="dxa" w:w="1440"/>
          </w:tcPr>
          <w:p>
            <w:r>
              <w:t>16 (0.6%)</w:t>
            </w:r>
          </w:p>
        </w:tc>
        <w:tc>
          <w:tcPr>
            <w:tcW w:type="dxa" w:w="1440"/>
          </w:tcPr>
          <w:p>
            <w:r>
              <w:t>6 (0.3%)</w:t>
            </w:r>
          </w:p>
        </w:tc>
        <w:tc>
          <w:tcPr>
            <w:tcW w:type="dxa" w:w="1440"/>
          </w:tcPr>
          <w:p>
            <w:r>
              <w:t>3 (0.8%)</w:t>
            </w:r>
          </w:p>
        </w:tc>
        <w:tc>
          <w:tcPr>
            <w:tcW w:type="dxa" w:w="1440"/>
          </w:tcPr>
          <w:p>
            <w:r>
              <w:t>7 (1.2%)</w:t>
            </w:r>
          </w:p>
        </w:tc>
        <w:tc>
          <w:tcPr>
            <w:tcW w:type="dxa" w:w="1440"/>
          </w:tcPr>
          <w:p>
            <w:r>
              <w:t>0.0477</w:t>
            </w:r>
          </w:p>
        </w:tc>
      </w:tr>
      <w:tr>
        <w:tc>
          <w:tcPr>
            <w:tcW w:type="dxa" w:w="1440"/>
          </w:tcPr>
          <w:p>
            <w:r>
              <w:t>Classical phenotype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 xml:space="preserve">  Bulbar</w:t>
            </w:r>
          </w:p>
        </w:tc>
        <w:tc>
          <w:tcPr>
            <w:tcW w:type="dxa" w:w="1440"/>
          </w:tcPr>
          <w:p>
            <w:r>
              <w:t>804 (29.4%)</w:t>
            </w:r>
          </w:p>
        </w:tc>
        <w:tc>
          <w:tcPr>
            <w:tcW w:type="dxa" w:w="1440"/>
          </w:tcPr>
          <w:p>
            <w:r>
              <w:t>803 (44.7%)</w:t>
            </w:r>
          </w:p>
        </w:tc>
        <w:tc>
          <w:tcPr>
            <w:tcW w:type="dxa" w:w="1440"/>
          </w:tcPr>
          <w:p>
            <w:r>
              <w:t>1 (0.3%)</w:t>
            </w:r>
          </w:p>
        </w:tc>
        <w:tc>
          <w:tcPr>
            <w:tcW w:type="dxa" w:w="1440"/>
          </w:tcPr>
          <w:p>
            <w:r>
              <w:t>0 (0.0%)</w:t>
            </w:r>
          </w:p>
        </w:tc>
        <w:tc>
          <w:tcPr>
            <w:tcW w:type="dxa" w:w="1440"/>
          </w:tcPr>
          <w:p>
            <w:r>
              <w:t>3.2e-129</w:t>
            </w:r>
          </w:p>
        </w:tc>
      </w:tr>
      <w:tr>
        <w:tc>
          <w:tcPr>
            <w:tcW w:type="dxa" w:w="1440"/>
          </w:tcPr>
          <w:p>
            <w:r>
              <w:t xml:space="preserve">  Classic spinal</w:t>
            </w:r>
          </w:p>
        </w:tc>
        <w:tc>
          <w:tcPr>
            <w:tcW w:type="dxa" w:w="1440"/>
          </w:tcPr>
          <w:p>
            <w:r>
              <w:t>926 (33.8%)</w:t>
            </w:r>
          </w:p>
        </w:tc>
        <w:tc>
          <w:tcPr>
            <w:tcW w:type="dxa" w:w="1440"/>
          </w:tcPr>
          <w:p>
            <w:r>
              <w:t>924 (51.4%)</w:t>
            </w:r>
          </w:p>
        </w:tc>
        <w:tc>
          <w:tcPr>
            <w:tcW w:type="dxa" w:w="1440"/>
          </w:tcPr>
          <w:p>
            <w:r>
              <w:t>0 (0.0%)</w:t>
            </w:r>
          </w:p>
        </w:tc>
        <w:tc>
          <w:tcPr>
            <w:tcW w:type="dxa" w:w="1440"/>
          </w:tcPr>
          <w:p>
            <w:r>
              <w:t>2 (0.3%)</w:t>
            </w:r>
          </w:p>
        </w:tc>
        <w:tc>
          <w:tcPr>
            <w:tcW w:type="dxa" w:w="1440"/>
          </w:tcPr>
          <w:p>
            <w:r>
              <w:t>7.7e-158</w:t>
            </w:r>
          </w:p>
        </w:tc>
      </w:tr>
      <w:tr>
        <w:tc>
          <w:tcPr>
            <w:tcW w:type="dxa" w:w="1440"/>
          </w:tcPr>
          <w:p>
            <w:r>
              <w:t xml:space="preserve">  Flail-arm</w:t>
            </w:r>
          </w:p>
        </w:tc>
        <w:tc>
          <w:tcPr>
            <w:tcW w:type="dxa" w:w="1440"/>
          </w:tcPr>
          <w:p>
            <w:r>
              <w:t>168 (6.1%)</w:t>
            </w:r>
          </w:p>
        </w:tc>
        <w:tc>
          <w:tcPr>
            <w:tcW w:type="dxa" w:w="1440"/>
          </w:tcPr>
          <w:p>
            <w:r>
              <w:t>1 (0.1%)</w:t>
            </w:r>
          </w:p>
        </w:tc>
        <w:tc>
          <w:tcPr>
            <w:tcW w:type="dxa" w:w="1440"/>
          </w:tcPr>
          <w:p>
            <w:r>
              <w:t>1 (0.3%)</w:t>
            </w:r>
          </w:p>
        </w:tc>
        <w:tc>
          <w:tcPr>
            <w:tcW w:type="dxa" w:w="1440"/>
          </w:tcPr>
          <w:p>
            <w:r>
              <w:t>166 (28.2%)</w:t>
            </w:r>
          </w:p>
        </w:tc>
        <w:tc>
          <w:tcPr>
            <w:tcW w:type="dxa" w:w="1440"/>
          </w:tcPr>
          <w:p>
            <w:r>
              <w:t>1.45e-138</w:t>
            </w:r>
          </w:p>
        </w:tc>
      </w:tr>
      <w:tr>
        <w:tc>
          <w:tcPr>
            <w:tcW w:type="dxa" w:w="1440"/>
          </w:tcPr>
          <w:p>
            <w:r>
              <w:t xml:space="preserve">  Flail-leg</w:t>
            </w:r>
          </w:p>
        </w:tc>
        <w:tc>
          <w:tcPr>
            <w:tcW w:type="dxa" w:w="1440"/>
          </w:tcPr>
          <w:p>
            <w:r>
              <w:t>420 (15.3%)</w:t>
            </w:r>
          </w:p>
        </w:tc>
        <w:tc>
          <w:tcPr>
            <w:tcW w:type="dxa" w:w="1440"/>
          </w:tcPr>
          <w:p>
            <w:r>
              <w:t>2 (0.1%)</w:t>
            </w:r>
          </w:p>
        </w:tc>
        <w:tc>
          <w:tcPr>
            <w:tcW w:type="dxa" w:w="1440"/>
          </w:tcPr>
          <w:p>
            <w:r>
              <w:t>0 (0.0%)</w:t>
            </w:r>
          </w:p>
        </w:tc>
        <w:tc>
          <w:tcPr>
            <w:tcW w:type="dxa" w:w="1440"/>
          </w:tcPr>
          <w:p>
            <w:r>
              <w:t>418 (71.1%)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 xml:space="preserve">  Respiratory</w:t>
            </w:r>
          </w:p>
        </w:tc>
        <w:tc>
          <w:tcPr>
            <w:tcW w:type="dxa" w:w="1440"/>
          </w:tcPr>
          <w:p>
            <w:r>
              <w:t>62 (2.3%)</w:t>
            </w:r>
          </w:p>
        </w:tc>
        <w:tc>
          <w:tcPr>
            <w:tcW w:type="dxa" w:w="1440"/>
          </w:tcPr>
          <w:p>
            <w:r>
              <w:t>62 (3.5%)</w:t>
            </w:r>
          </w:p>
        </w:tc>
        <w:tc>
          <w:tcPr>
            <w:tcW w:type="dxa" w:w="1440"/>
          </w:tcPr>
          <w:p>
            <w:r>
              <w:t>0 (0.0%)</w:t>
            </w:r>
          </w:p>
        </w:tc>
        <w:tc>
          <w:tcPr>
            <w:tcW w:type="dxa" w:w="1440"/>
          </w:tcPr>
          <w:p>
            <w:r>
              <w:t>0 (0.0%)</w:t>
            </w:r>
          </w:p>
        </w:tc>
        <w:tc>
          <w:tcPr>
            <w:tcW w:type="dxa" w:w="1440"/>
          </w:tcPr>
          <w:p>
            <w:r>
              <w:t>6.12e-08</w:t>
            </w:r>
          </w:p>
        </w:tc>
      </w:tr>
      <w:tr>
        <w:tc>
          <w:tcPr>
            <w:tcW w:type="dxa" w:w="1440"/>
          </w:tcPr>
          <w:p>
            <w:r>
              <w:t xml:space="preserve">  Bulbar-pyramidal</w:t>
            </w:r>
          </w:p>
        </w:tc>
        <w:tc>
          <w:tcPr>
            <w:tcW w:type="dxa" w:w="1440"/>
          </w:tcPr>
          <w:p>
            <w:r>
              <w:t>99 (3.6%)</w:t>
            </w:r>
          </w:p>
        </w:tc>
        <w:tc>
          <w:tcPr>
            <w:tcW w:type="dxa" w:w="1440"/>
          </w:tcPr>
          <w:p>
            <w:r>
              <w:t>0 (0.0%)</w:t>
            </w:r>
          </w:p>
        </w:tc>
        <w:tc>
          <w:tcPr>
            <w:tcW w:type="dxa" w:w="1440"/>
          </w:tcPr>
          <w:p>
            <w:r>
              <w:t>99 (28.0%)</w:t>
            </w:r>
          </w:p>
        </w:tc>
        <w:tc>
          <w:tcPr>
            <w:tcW w:type="dxa" w:w="1440"/>
          </w:tcPr>
          <w:p>
            <w:r>
              <w:t>0 (0.0%)</w:t>
            </w:r>
          </w:p>
        </w:tc>
        <w:tc>
          <w:tcPr>
            <w:tcW w:type="dxa" w:w="1440"/>
          </w:tcPr>
          <w:p>
            <w:r>
              <w:t>2.02e-151</w:t>
            </w:r>
          </w:p>
        </w:tc>
      </w:tr>
      <w:tr>
        <w:tc>
          <w:tcPr>
            <w:tcW w:type="dxa" w:w="1440"/>
          </w:tcPr>
          <w:p>
            <w:r>
              <w:t xml:space="preserve">  Pyramidal</w:t>
            </w:r>
          </w:p>
        </w:tc>
        <w:tc>
          <w:tcPr>
            <w:tcW w:type="dxa" w:w="1440"/>
          </w:tcPr>
          <w:p>
            <w:r>
              <w:t>253 (9.2%)</w:t>
            </w:r>
          </w:p>
        </w:tc>
        <w:tc>
          <w:tcPr>
            <w:tcW w:type="dxa" w:w="1440"/>
          </w:tcPr>
          <w:p>
            <w:r>
              <w:t>0 (0.0%)</w:t>
            </w:r>
          </w:p>
        </w:tc>
        <w:tc>
          <w:tcPr>
            <w:tcW w:type="dxa" w:w="1440"/>
          </w:tcPr>
          <w:p>
            <w:r>
              <w:t>252 (71.4%)</w:t>
            </w:r>
          </w:p>
        </w:tc>
        <w:tc>
          <w:tcPr>
            <w:tcW w:type="dxa" w:w="1440"/>
          </w:tcPr>
          <w:p>
            <w:r>
              <w:t>1 (0.2%)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King's stage at baseline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 xml:space="preserve">  Stage 1</w:t>
            </w:r>
          </w:p>
        </w:tc>
        <w:tc>
          <w:tcPr>
            <w:tcW w:type="dxa" w:w="1440"/>
          </w:tcPr>
          <w:p>
            <w:r>
              <w:t>1233 (45.0%)</w:t>
            </w:r>
          </w:p>
        </w:tc>
        <w:tc>
          <w:tcPr>
            <w:tcW w:type="dxa" w:w="1440"/>
          </w:tcPr>
          <w:p>
            <w:r>
              <w:t>774 (43.1%)</w:t>
            </w:r>
          </w:p>
        </w:tc>
        <w:tc>
          <w:tcPr>
            <w:tcW w:type="dxa" w:w="1440"/>
          </w:tcPr>
          <w:p>
            <w:r>
              <w:t>163 (46.2%)</w:t>
            </w:r>
          </w:p>
        </w:tc>
        <w:tc>
          <w:tcPr>
            <w:tcW w:type="dxa" w:w="1440"/>
          </w:tcPr>
          <w:p>
            <w:r>
              <w:t>296 (50.3%)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 xml:space="preserve">  Stage 2</w:t>
            </w:r>
          </w:p>
        </w:tc>
        <w:tc>
          <w:tcPr>
            <w:tcW w:type="dxa" w:w="1440"/>
          </w:tcPr>
          <w:p>
            <w:r>
              <w:t>784 (28.6%)</w:t>
            </w:r>
          </w:p>
        </w:tc>
        <w:tc>
          <w:tcPr>
            <w:tcW w:type="dxa" w:w="1440"/>
          </w:tcPr>
          <w:p>
            <w:r>
              <w:t>514 (28.6%)</w:t>
            </w:r>
          </w:p>
        </w:tc>
        <w:tc>
          <w:tcPr>
            <w:tcW w:type="dxa" w:w="1440"/>
          </w:tcPr>
          <w:p>
            <w:r>
              <w:t>98 (27.8%)</w:t>
            </w:r>
          </w:p>
        </w:tc>
        <w:tc>
          <w:tcPr>
            <w:tcW w:type="dxa" w:w="1440"/>
          </w:tcPr>
          <w:p>
            <w:r>
              <w:t>172 (29.3%)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 xml:space="preserve">  Stage 3</w:t>
            </w:r>
          </w:p>
        </w:tc>
        <w:tc>
          <w:tcPr>
            <w:tcW w:type="dxa" w:w="1440"/>
          </w:tcPr>
          <w:p>
            <w:r>
              <w:t>553 (20.2%)</w:t>
            </w:r>
          </w:p>
        </w:tc>
        <w:tc>
          <w:tcPr>
            <w:tcW w:type="dxa" w:w="1440"/>
          </w:tcPr>
          <w:p>
            <w:r>
              <w:t>378 (21.0%)</w:t>
            </w:r>
          </w:p>
        </w:tc>
        <w:tc>
          <w:tcPr>
            <w:tcW w:type="dxa" w:w="1440"/>
          </w:tcPr>
          <w:p>
            <w:r>
              <w:t>84 (23.8%)</w:t>
            </w:r>
          </w:p>
        </w:tc>
        <w:tc>
          <w:tcPr>
            <w:tcW w:type="dxa" w:w="1440"/>
          </w:tcPr>
          <w:p>
            <w:r>
              <w:t>91 (15.5%)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 xml:space="preserve">  Stage 4</w:t>
            </w:r>
          </w:p>
        </w:tc>
        <w:tc>
          <w:tcPr>
            <w:tcW w:type="dxa" w:w="1440"/>
          </w:tcPr>
          <w:p>
            <w:r>
              <w:t>163 (6.0%)</w:t>
            </w:r>
          </w:p>
        </w:tc>
        <w:tc>
          <w:tcPr>
            <w:tcW w:type="dxa" w:w="1440"/>
          </w:tcPr>
          <w:p>
            <w:r>
              <w:t>129 (7.2%)</w:t>
            </w:r>
          </w:p>
        </w:tc>
        <w:tc>
          <w:tcPr>
            <w:tcW w:type="dxa" w:w="1440"/>
          </w:tcPr>
          <w:p>
            <w:r>
              <w:t>7 (2.0%)</w:t>
            </w:r>
          </w:p>
        </w:tc>
        <w:tc>
          <w:tcPr>
            <w:tcW w:type="dxa" w:w="1440"/>
          </w:tcPr>
          <w:p>
            <w:r>
              <w:t>27 (4.6%)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/>
    <w:p>
      <w:r>
        <w:rPr>
          <w:i/>
        </w:rPr>
        <w:t>Baseline characteristics of the primary analytic cohort (N = 2738) stratified by motor-neuron pattern class (M_3class). Continuous variables are presented as median (IQR); Kruskal–Wallis test. Categorical variables are presented as n (%); chi-squared test. M0 = balanced upper and lower motor-neuron involvement; M1d = predominant upper motor-neuron involvement (definite/probable); M2d = predominant lower motor-neuron involvement (definite/probable). Events = death or permanent invasive ventilation (tracheostomy).</w:t>
      </w:r>
    </w:p>
    <w:p/>
    <w:p>
      <w:pPr>
        <w:pStyle w:val="ListNumber"/>
      </w:pPr>
      <w:r>
        <w:t>Abbreviations: IQR = interquartile range; OPM = ALS Onco-Propagation-Motor pattern system v3.3.</w:t>
      </w:r>
    </w:p>
    <w:p>
      <w:pPr>
        <w:pStyle w:val="ListNumber"/>
      </w:pPr>
      <w:r>
        <w:t>Kaplan-Meier median survival from symptom onset: M0 = 27.0 mo, M1d = 41.9 mo, M2d = 36.0 mo.</w:t>
      </w:r>
    </w:p>
    <w:p>
      <w:pPr>
        <w:pStyle w:val="ListNumber"/>
      </w:pPr>
      <w:r>
        <w:t>p-values: Kruskal-Wallis for continuous variables, chi-squared for categorical variables (3-group comparison).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