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Table 2. Primary Cox proportional-hazards model OPM5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Covariate</w:t>
            </w:r>
          </w:p>
        </w:tc>
        <w:tc>
          <w:tcPr>
            <w:tcW w:type="dxa" w:w="2880"/>
          </w:tcPr>
          <w:p>
            <w:r>
              <w:t>HR (95% CI)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— Onset region (reference: O2d, arm-distal) —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OPM_O = O1 (bulbar)</w:t>
            </w:r>
          </w:p>
        </w:tc>
        <w:tc>
          <w:tcPr>
            <w:tcW w:type="dxa" w:w="2880"/>
          </w:tcPr>
          <w:p>
            <w:r>
              <w:t>1.389  (1.245–1.549)</w:t>
            </w:r>
          </w:p>
        </w:tc>
        <w:tc>
          <w:tcPr>
            <w:tcW w:type="dxa" w:w="2880"/>
          </w:tcPr>
          <w:p>
            <w:r>
              <w:t>3.75e-09</w:t>
            </w:r>
          </w:p>
        </w:tc>
      </w:tr>
      <w:tr>
        <w:tc>
          <w:tcPr>
            <w:tcW w:type="dxa" w:w="2880"/>
          </w:tcPr>
          <w:p>
            <w:r>
              <w:t>OPM_O = O2p (arm-proximal)</w:t>
            </w:r>
          </w:p>
        </w:tc>
        <w:tc>
          <w:tcPr>
            <w:tcW w:type="dxa" w:w="2880"/>
          </w:tcPr>
          <w:p>
            <w:r>
              <w:t>0.992  (0.794–1.239)</w:t>
            </w:r>
          </w:p>
        </w:tc>
        <w:tc>
          <w:tcPr>
            <w:tcW w:type="dxa" w:w="2880"/>
          </w:tcPr>
          <w:p>
            <w:r>
              <w:t>0.941</w:t>
            </w:r>
          </w:p>
        </w:tc>
      </w:tr>
      <w:tr>
        <w:tc>
          <w:tcPr>
            <w:tcW w:type="dxa" w:w="2880"/>
          </w:tcPr>
          <w:p>
            <w:r>
              <w:t>OPM_O = O2x (arm-bilateral)</w:t>
            </w:r>
          </w:p>
        </w:tc>
        <w:tc>
          <w:tcPr>
            <w:tcW w:type="dxa" w:w="2880"/>
          </w:tcPr>
          <w:p>
            <w:r>
              <w:t>1.194  (0.815–1.750)</w:t>
            </w:r>
          </w:p>
        </w:tc>
        <w:tc>
          <w:tcPr>
            <w:tcW w:type="dxa" w:w="2880"/>
          </w:tcPr>
          <w:p>
            <w:r>
              <w:t>0.362</w:t>
            </w:r>
          </w:p>
        </w:tc>
      </w:tr>
      <w:tr>
        <w:tc>
          <w:tcPr>
            <w:tcW w:type="dxa" w:w="2880"/>
          </w:tcPr>
          <w:p>
            <w:r>
              <w:t>OPM_O = O3r (respiratory)</w:t>
            </w:r>
          </w:p>
        </w:tc>
        <w:tc>
          <w:tcPr>
            <w:tcW w:type="dxa" w:w="2880"/>
          </w:tcPr>
          <w:p>
            <w:r>
              <w:t>2.074  (1.591–2.704)</w:t>
            </w:r>
          </w:p>
        </w:tc>
        <w:tc>
          <w:tcPr>
            <w:tcW w:type="dxa" w:w="2880"/>
          </w:tcPr>
          <w:p>
            <w:r>
              <w:t>6.88e-08</w:t>
            </w:r>
          </w:p>
        </w:tc>
      </w:tr>
      <w:tr>
        <w:tc>
          <w:tcPr>
            <w:tcW w:type="dxa" w:w="2880"/>
          </w:tcPr>
          <w:p>
            <w:r>
              <w:t>OPM_O = O4d (leg-distal)</w:t>
            </w:r>
          </w:p>
        </w:tc>
        <w:tc>
          <w:tcPr>
            <w:tcW w:type="dxa" w:w="2880"/>
          </w:tcPr>
          <w:p>
            <w:r>
              <w:t>1.196  (1.052–1.360)</w:t>
            </w:r>
          </w:p>
        </w:tc>
        <w:tc>
          <w:tcPr>
            <w:tcW w:type="dxa" w:w="2880"/>
          </w:tcPr>
          <w:p>
            <w:r>
              <w:t>0.0062</w:t>
            </w:r>
          </w:p>
        </w:tc>
      </w:tr>
      <w:tr>
        <w:tc>
          <w:tcPr>
            <w:tcW w:type="dxa" w:w="2880"/>
          </w:tcPr>
          <w:p>
            <w:r>
              <w:t>OPM_O = O4p (leg-proximal)</w:t>
            </w:r>
          </w:p>
        </w:tc>
        <w:tc>
          <w:tcPr>
            <w:tcW w:type="dxa" w:w="2880"/>
          </w:tcPr>
          <w:p>
            <w:r>
              <w:t>1.220  (0.960–1.549)</w:t>
            </w:r>
          </w:p>
        </w:tc>
        <w:tc>
          <w:tcPr>
            <w:tcW w:type="dxa" w:w="2880"/>
          </w:tcPr>
          <w:p>
            <w:r>
              <w:t>0.104</w:t>
            </w:r>
          </w:p>
        </w:tc>
      </w:tr>
      <w:tr>
        <w:tc>
          <w:tcPr>
            <w:tcW w:type="dxa" w:w="2880"/>
          </w:tcPr>
          <w:p>
            <w:r>
              <w:t>OPM_O = O4x (leg-bilateral)</w:t>
            </w:r>
          </w:p>
        </w:tc>
        <w:tc>
          <w:tcPr>
            <w:tcW w:type="dxa" w:w="2880"/>
          </w:tcPr>
          <w:p>
            <w:r>
              <w:t>0.603  (0.346–1.053)</w:t>
            </w:r>
          </w:p>
        </w:tc>
        <w:tc>
          <w:tcPr>
            <w:tcW w:type="dxa" w:w="2880"/>
          </w:tcPr>
          <w:p>
            <w:r>
              <w:t>0.0753</w:t>
            </w:r>
          </w:p>
        </w:tc>
      </w:tr>
      <w:tr>
        <w:tc>
          <w:tcPr>
            <w:tcW w:type="dxa" w:w="2880"/>
          </w:tcPr>
          <w:p>
            <w:r>
              <w:t>— Propagation —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Propagation P1(n), months (capped 60)</w:t>
            </w:r>
          </w:p>
        </w:tc>
        <w:tc>
          <w:tcPr>
            <w:tcW w:type="dxa" w:w="2880"/>
          </w:tcPr>
          <w:p>
            <w:r>
              <w:t>0.967  (0.963–0.970)</w:t>
            </w:r>
          </w:p>
        </w:tc>
        <w:tc>
          <w:tcPr>
            <w:tcW w:type="dxa" w:w="2880"/>
          </w:tcPr>
          <w:p>
            <w:r>
              <w:t>6.12e-68</w:t>
            </w:r>
          </w:p>
        </w:tc>
      </w:tr>
      <w:tr>
        <w:tc>
          <w:tcPr>
            <w:tcW w:type="dxa" w:w="2880"/>
          </w:tcPr>
          <w:p>
            <w:r>
              <w:t>— Motor-neuron pattern (reference: M0) —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M_3class = M1d (UMN-predominant)</w:t>
            </w:r>
          </w:p>
        </w:tc>
        <w:tc>
          <w:tcPr>
            <w:tcW w:type="dxa" w:w="2880"/>
          </w:tcPr>
          <w:p>
            <w:r>
              <w:t>0.589  (0.518–0.669)</w:t>
            </w:r>
          </w:p>
        </w:tc>
        <w:tc>
          <w:tcPr>
            <w:tcW w:type="dxa" w:w="2880"/>
          </w:tcPr>
          <w:p>
            <w:r>
              <w:t>4.40e-16</w:t>
            </w:r>
          </w:p>
        </w:tc>
      </w:tr>
      <w:tr>
        <w:tc>
          <w:tcPr>
            <w:tcW w:type="dxa" w:w="2880"/>
          </w:tcPr>
          <w:p>
            <w:r>
              <w:t>M_3class = M2d (LMN-predominant)</w:t>
            </w:r>
          </w:p>
        </w:tc>
        <w:tc>
          <w:tcPr>
            <w:tcW w:type="dxa" w:w="2880"/>
          </w:tcPr>
          <w:p>
            <w:r>
              <w:t>0.830  (0.724–0.951)</w:t>
            </w:r>
          </w:p>
        </w:tc>
        <w:tc>
          <w:tcPr>
            <w:tcW w:type="dxa" w:w="2880"/>
          </w:tcPr>
          <w:p>
            <w:r>
              <w:t>0.00732</w:t>
            </w:r>
          </w:p>
        </w:tc>
      </w:tr>
      <w:tr>
        <w:tc>
          <w:tcPr>
            <w:tcW w:type="dxa" w:w="2880"/>
          </w:tcPr>
          <w:p>
            <w:r>
              <w:t>— Covariates —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Age at onset (per 10 years)</w:t>
            </w:r>
          </w:p>
        </w:tc>
        <w:tc>
          <w:tcPr>
            <w:tcW w:type="dxa" w:w="2880"/>
          </w:tcPr>
          <w:p>
            <w:r>
              <w:t>1.322  (1.272–1.373)</w:t>
            </w:r>
          </w:p>
        </w:tc>
        <w:tc>
          <w:tcPr>
            <w:tcW w:type="dxa" w:w="2880"/>
          </w:tcPr>
          <w:p>
            <w:r>
              <w:t>7.64e-47</w:t>
            </w:r>
          </w:p>
        </w:tc>
      </w:tr>
      <w:tr>
        <w:tc>
          <w:tcPr>
            <w:tcW w:type="dxa" w:w="2880"/>
          </w:tcPr>
          <w:p>
            <w:r>
              <w:t>Male sex</w:t>
            </w:r>
          </w:p>
        </w:tc>
        <w:tc>
          <w:tcPr>
            <w:tcW w:type="dxa" w:w="2880"/>
          </w:tcPr>
          <w:p>
            <w:r>
              <w:t>1.071  (0.990–1.160)</w:t>
            </w:r>
          </w:p>
        </w:tc>
        <w:tc>
          <w:tcPr>
            <w:tcW w:type="dxa" w:w="2880"/>
          </w:tcPr>
          <w:p>
            <w:r>
              <w:t>0.0885</w:t>
            </w:r>
          </w:p>
        </w:tc>
      </w:tr>
    </w:tbl>
    <w:p/>
    <w:p>
      <w:r>
        <w:rPr>
          <w:i/>
        </w:rPr>
        <w:t>Cox proportional-hazards model OPM5 fitted to the primary analytic cohort (N = 2738, events = 2561). Outcome: death or permanent invasive ventilation (tracheostomy). Apparent Harrell C-index = 0.7041. Reference categories: OPM_O = O2d (arm-distal onset); M_3class = M0 (balanced UMN+LMN). A small ridge penaliser (lambda = 0.0001) was applied for numerical stability. Hazard ratios &gt; 1 indicate shorter survival (higher hazard).</w:t>
      </w:r>
    </w:p>
    <w:p/>
    <w:p>
      <w:pPr>
        <w:pStyle w:val="ListNumber"/>
      </w:pPr>
      <w:r>
        <w:t>Abbreviations: HR = hazard ratio; CI = confidence interval; UMN = upper motor neuron; LMN = lower motor neuron.</w:t>
      </w:r>
    </w:p>
    <w:p>
      <w:pPr>
        <w:pStyle w:val="ListNumber"/>
      </w:pPr>
      <w:r>
        <w:t>P1(n) = propagation time in months (time to first non-onset-region ALSFRS-R domain &lt; 4), capped at 60 months.</w:t>
      </w:r>
    </w:p>
    <w:p>
      <w:pPr>
        <w:pStyle w:val="ListNumber"/>
      </w:pPr>
      <w:r>
        <w:t>Bootstrap-corrected C-index reported in Table S (internal validation).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