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Table 3. Secondary Cox model S9 (no propagation axis)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Covariate</w:t>
            </w:r>
          </w:p>
        </w:tc>
        <w:tc>
          <w:tcPr>
            <w:tcW w:type="dxa" w:w="2880"/>
          </w:tcPr>
          <w:p>
            <w:r>
              <w:t>HR (95% CI)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— Onset region (reference: O2d, arm-distal) —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OPM_O = O1 (bulbar)</w:t>
            </w:r>
          </w:p>
        </w:tc>
        <w:tc>
          <w:tcPr>
            <w:tcW w:type="dxa" w:w="2880"/>
          </w:tcPr>
          <w:p>
            <w:r>
              <w:t>1.364  (1.222–1.523)</w:t>
            </w:r>
          </w:p>
        </w:tc>
        <w:tc>
          <w:tcPr>
            <w:tcW w:type="dxa" w:w="2880"/>
          </w:tcPr>
          <w:p>
            <w:r>
              <w:t>3.08e-08</w:t>
            </w:r>
          </w:p>
        </w:tc>
      </w:tr>
      <w:tr>
        <w:tc>
          <w:tcPr>
            <w:tcW w:type="dxa" w:w="2880"/>
          </w:tcPr>
          <w:p>
            <w:r>
              <w:t>OPM_O = O2p (arm-proximal)</w:t>
            </w:r>
          </w:p>
        </w:tc>
        <w:tc>
          <w:tcPr>
            <w:tcW w:type="dxa" w:w="2880"/>
          </w:tcPr>
          <w:p>
            <w:r>
              <w:t>1.059  (0.849–1.321)</w:t>
            </w:r>
          </w:p>
        </w:tc>
        <w:tc>
          <w:tcPr>
            <w:tcW w:type="dxa" w:w="2880"/>
          </w:tcPr>
          <w:p>
            <w:r>
              <w:t>0.61</w:t>
            </w:r>
          </w:p>
        </w:tc>
      </w:tr>
      <w:tr>
        <w:tc>
          <w:tcPr>
            <w:tcW w:type="dxa" w:w="2880"/>
          </w:tcPr>
          <w:p>
            <w:r>
              <w:t>OPM_O = O2x (arm-bilateral)</w:t>
            </w:r>
          </w:p>
        </w:tc>
        <w:tc>
          <w:tcPr>
            <w:tcW w:type="dxa" w:w="2880"/>
          </w:tcPr>
          <w:p>
            <w:r>
              <w:t>1.171  (0.800–1.714)</w:t>
            </w:r>
          </w:p>
        </w:tc>
        <w:tc>
          <w:tcPr>
            <w:tcW w:type="dxa" w:w="2880"/>
          </w:tcPr>
          <w:p>
            <w:r>
              <w:t>0.418</w:t>
            </w:r>
          </w:p>
        </w:tc>
      </w:tr>
      <w:tr>
        <w:tc>
          <w:tcPr>
            <w:tcW w:type="dxa" w:w="2880"/>
          </w:tcPr>
          <w:p>
            <w:r>
              <w:t>OPM_O = O3r (respiratory)</w:t>
            </w:r>
          </w:p>
        </w:tc>
        <w:tc>
          <w:tcPr>
            <w:tcW w:type="dxa" w:w="2880"/>
          </w:tcPr>
          <w:p>
            <w:r>
              <w:t>2.100  (1.612–2.737)</w:t>
            </w:r>
          </w:p>
        </w:tc>
        <w:tc>
          <w:tcPr>
            <w:tcW w:type="dxa" w:w="2880"/>
          </w:tcPr>
          <w:p>
            <w:r>
              <w:t>3.97e-08</w:t>
            </w:r>
          </w:p>
        </w:tc>
      </w:tr>
      <w:tr>
        <w:tc>
          <w:tcPr>
            <w:tcW w:type="dxa" w:w="2880"/>
          </w:tcPr>
          <w:p>
            <w:r>
              <w:t>OPM_O = O4d (leg-distal)</w:t>
            </w:r>
          </w:p>
        </w:tc>
        <w:tc>
          <w:tcPr>
            <w:tcW w:type="dxa" w:w="2880"/>
          </w:tcPr>
          <w:p>
            <w:r>
              <w:t>1.066  (0.938–1.212)</w:t>
            </w:r>
          </w:p>
        </w:tc>
        <w:tc>
          <w:tcPr>
            <w:tcW w:type="dxa" w:w="2880"/>
          </w:tcPr>
          <w:p>
            <w:r>
              <w:t>0.328</w:t>
            </w:r>
          </w:p>
        </w:tc>
      </w:tr>
      <w:tr>
        <w:tc>
          <w:tcPr>
            <w:tcW w:type="dxa" w:w="2880"/>
          </w:tcPr>
          <w:p>
            <w:r>
              <w:t>OPM_O = O4p (leg-proximal)</w:t>
            </w:r>
          </w:p>
        </w:tc>
        <w:tc>
          <w:tcPr>
            <w:tcW w:type="dxa" w:w="2880"/>
          </w:tcPr>
          <w:p>
            <w:r>
              <w:t>1.200  (0.945–1.524)</w:t>
            </w:r>
          </w:p>
        </w:tc>
        <w:tc>
          <w:tcPr>
            <w:tcW w:type="dxa" w:w="2880"/>
          </w:tcPr>
          <w:p>
            <w:r>
              <w:t>0.134</w:t>
            </w:r>
          </w:p>
        </w:tc>
      </w:tr>
      <w:tr>
        <w:tc>
          <w:tcPr>
            <w:tcW w:type="dxa" w:w="2880"/>
          </w:tcPr>
          <w:p>
            <w:r>
              <w:t>OPM_O = O4x (leg-bilateral)</w:t>
            </w:r>
          </w:p>
        </w:tc>
        <w:tc>
          <w:tcPr>
            <w:tcW w:type="dxa" w:w="2880"/>
          </w:tcPr>
          <w:p>
            <w:r>
              <w:t>0.649  (0.372–1.133)</w:t>
            </w:r>
          </w:p>
        </w:tc>
        <w:tc>
          <w:tcPr>
            <w:tcW w:type="dxa" w:w="2880"/>
          </w:tcPr>
          <w:p>
            <w:r>
              <w:t>0.128</w:t>
            </w:r>
          </w:p>
        </w:tc>
      </w:tr>
      <w:tr>
        <w:tc>
          <w:tcPr>
            <w:tcW w:type="dxa" w:w="2880"/>
          </w:tcPr>
          <w:p>
            <w:r>
              <w:t>— Motor-neuron pattern (reference: M0) —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M_3class = M1d (UMN-predominant)</w:t>
            </w:r>
          </w:p>
        </w:tc>
        <w:tc>
          <w:tcPr>
            <w:tcW w:type="dxa" w:w="2880"/>
          </w:tcPr>
          <w:p>
            <w:r>
              <w:t>0.582  (0.512–0.662)</w:t>
            </w:r>
          </w:p>
        </w:tc>
        <w:tc>
          <w:tcPr>
            <w:tcW w:type="dxa" w:w="2880"/>
          </w:tcPr>
          <w:p>
            <w:r>
              <w:t>1.50e-16</w:t>
            </w:r>
          </w:p>
        </w:tc>
      </w:tr>
      <w:tr>
        <w:tc>
          <w:tcPr>
            <w:tcW w:type="dxa" w:w="2880"/>
          </w:tcPr>
          <w:p>
            <w:r>
              <w:t>M_3class = M2d (LMN-predominant)</w:t>
            </w:r>
          </w:p>
        </w:tc>
        <w:tc>
          <w:tcPr>
            <w:tcW w:type="dxa" w:w="2880"/>
          </w:tcPr>
          <w:p>
            <w:r>
              <w:t>0.767  (0.670–0.878)</w:t>
            </w:r>
          </w:p>
        </w:tc>
        <w:tc>
          <w:tcPr>
            <w:tcW w:type="dxa" w:w="2880"/>
          </w:tcPr>
          <w:p>
            <w:r>
              <w:t>1.25e-04</w:t>
            </w:r>
          </w:p>
        </w:tc>
      </w:tr>
      <w:tr>
        <w:tc>
          <w:tcPr>
            <w:tcW w:type="dxa" w:w="2880"/>
          </w:tcPr>
          <w:p>
            <w:r>
              <w:t>— Covariates —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Age at onset (per 10 years)</w:t>
            </w:r>
          </w:p>
        </w:tc>
        <w:tc>
          <w:tcPr>
            <w:tcW w:type="dxa" w:w="2880"/>
          </w:tcPr>
          <w:p>
            <w:r>
              <w:t>1.333  (1.283–1.386)</w:t>
            </w:r>
          </w:p>
        </w:tc>
        <w:tc>
          <w:tcPr>
            <w:tcW w:type="dxa" w:w="2880"/>
          </w:tcPr>
          <w:p>
            <w:r>
              <w:t>5.13e-49</w:t>
            </w:r>
          </w:p>
        </w:tc>
      </w:tr>
      <w:tr>
        <w:tc>
          <w:tcPr>
            <w:tcW w:type="dxa" w:w="2880"/>
          </w:tcPr>
          <w:p>
            <w:r>
              <w:t>Male sex</w:t>
            </w:r>
          </w:p>
        </w:tc>
        <w:tc>
          <w:tcPr>
            <w:tcW w:type="dxa" w:w="2880"/>
          </w:tcPr>
          <w:p>
            <w:r>
              <w:t>1.105  (1.021–1.197)</w:t>
            </w:r>
          </w:p>
        </w:tc>
        <w:tc>
          <w:tcPr>
            <w:tcW w:type="dxa" w:w="2880"/>
          </w:tcPr>
          <w:p>
            <w:r>
              <w:t>0.0135</w:t>
            </w:r>
          </w:p>
        </w:tc>
      </w:tr>
    </w:tbl>
    <w:p/>
    <w:p>
      <w:r>
        <w:rPr>
          <w:i/>
        </w:rPr>
        <w:t>Secondary Cox proportional-hazards model S9 fitted to the primary analytic cohort (N = 2738, events = 2561). This model omits the propagation axis (P1(n)) to demonstrate that the onset-region (O) and motor-neuron pattern (M) axes retain independent prognostic information. Apparent Harrell C-index = 0.6394. Reference categories: OPM_O = O2d; M_3class = M0.</w:t>
      </w:r>
    </w:p>
    <w:p/>
    <w:p>
      <w:pPr>
        <w:pStyle w:val="ListNumber"/>
      </w:pPr>
      <w:r>
        <w:t>Abbreviations: HR = hazard ratio; CI = confidence interval.</w:t>
      </w:r>
    </w:p>
    <w:p>
      <w:pPr>
        <w:pStyle w:val="ListNumber"/>
      </w:pPr>
      <w:r>
        <w:t>Comparison with OPM5: the modest reduction in C-index confirms that propagation provides additional prognostic information beyond the O and M axes.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