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Table S. Landmark analysis of propagation at 6 and 12 months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Landmark</w:t>
            </w:r>
          </w:p>
        </w:tc>
        <w:tc>
          <w:tcPr>
            <w:tcW w:type="dxa" w:w="1440"/>
          </w:tcPr>
          <w:p>
            <w:r>
              <w:t>N alive (propagated / non-prop.)</w:t>
            </w:r>
          </w:p>
        </w:tc>
        <w:tc>
          <w:tcPr>
            <w:tcW w:type="dxa" w:w="1440"/>
          </w:tcPr>
          <w:p>
            <w:r>
              <w:t>HR propagated vs non-prop. (95% CI)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Median survival — propagated</w:t>
            </w:r>
          </w:p>
        </w:tc>
        <w:tc>
          <w:tcPr>
            <w:tcW w:type="dxa" w:w="1440"/>
          </w:tcPr>
          <w:p>
            <w:r>
              <w:t>Median survival — non-propagated</w:t>
            </w:r>
          </w:p>
        </w:tc>
      </w:tr>
      <w:tr>
        <w:tc>
          <w:tcPr>
            <w:tcW w:type="dxa" w:w="1440"/>
          </w:tcPr>
          <w:p>
            <w:r>
              <w:t>6 months</w:t>
            </w:r>
          </w:p>
        </w:tc>
        <w:tc>
          <w:tcPr>
            <w:tcW w:type="dxa" w:w="1440"/>
          </w:tcPr>
          <w:p>
            <w:r>
              <w:t>2686 (884 prop. / 1802 non-prop.)</w:t>
            </w:r>
          </w:p>
        </w:tc>
        <w:tc>
          <w:tcPr>
            <w:tcW w:type="dxa" w:w="1440"/>
          </w:tcPr>
          <w:p>
            <w:r>
              <w:t>1.69  (1.55–1.84)</w:t>
            </w:r>
          </w:p>
        </w:tc>
        <w:tc>
          <w:tcPr>
            <w:tcW w:type="dxa" w:w="1440"/>
          </w:tcPr>
          <w:p>
            <w:r>
              <w:t>5.20e-34</w:t>
            </w:r>
          </w:p>
        </w:tc>
        <w:tc>
          <w:tcPr>
            <w:tcW w:type="dxa" w:w="1440"/>
          </w:tcPr>
          <w:p>
            <w:r>
              <w:t>22.0 mo</w:t>
            </w:r>
          </w:p>
        </w:tc>
        <w:tc>
          <w:tcPr>
            <w:tcW w:type="dxa" w:w="1440"/>
          </w:tcPr>
          <w:p>
            <w:r>
              <w:t>35.0 mo</w:t>
            </w:r>
          </w:p>
        </w:tc>
      </w:tr>
      <w:tr>
        <w:tc>
          <w:tcPr>
            <w:tcW w:type="dxa" w:w="1440"/>
          </w:tcPr>
          <w:p>
            <w:r>
              <w:t>12 months</w:t>
            </w:r>
          </w:p>
        </w:tc>
        <w:tc>
          <w:tcPr>
            <w:tcW w:type="dxa" w:w="1440"/>
          </w:tcPr>
          <w:p>
            <w:r>
              <w:t>2383 (1378 prop. / 1005 non-prop.)</w:t>
            </w:r>
          </w:p>
        </w:tc>
        <w:tc>
          <w:tcPr>
            <w:tcW w:type="dxa" w:w="1440"/>
          </w:tcPr>
          <w:p>
            <w:r>
              <w:t>1.68  (1.54–1.83)</w:t>
            </w:r>
          </w:p>
        </w:tc>
        <w:tc>
          <w:tcPr>
            <w:tcW w:type="dxa" w:w="1440"/>
          </w:tcPr>
          <w:p>
            <w:r>
              <w:t>2.69e-32</w:t>
            </w:r>
          </w:p>
        </w:tc>
        <w:tc>
          <w:tcPr>
            <w:tcW w:type="dxa" w:w="1440"/>
          </w:tcPr>
          <w:p>
            <w:r>
              <w:t>27.9 mo</w:t>
            </w:r>
          </w:p>
        </w:tc>
        <w:tc>
          <w:tcPr>
            <w:tcW w:type="dxa" w:w="1440"/>
          </w:tcPr>
          <w:p>
            <w:r>
              <w:t>43.1 mo</w:t>
            </w:r>
          </w:p>
        </w:tc>
      </w:tr>
    </w:tbl>
    <w:p/>
    <w:p>
      <w:r>
        <w:rPr>
          <w:i/>
        </w:rPr>
        <w:t>Landmark analysis assessing the prognostic effect of propagation (second ALSFRS-R region reached) by 6 and 12 months from symptom onset. Patients alive at the landmark are included; survival time is measured from the landmark. The Cox model adjusts for OPM_O, M_3class, age at onset, and sex. This design is immune to immortal-time bias by construction. Propagated = P1(n) &lt;= landmark time.</w:t>
      </w:r>
    </w:p>
    <w:p/>
    <w:p>
      <w:pPr>
        <w:pStyle w:val="ListNumber"/>
      </w:pPr>
      <w:r>
        <w:t>Median survival is measured from symptom onset.</w:t>
      </w:r>
    </w:p>
    <w:p>
      <w:pPr>
        <w:pStyle w:val="ListNumber"/>
      </w:pPr>
      <w:r>
        <w:t>HR &gt; 1 indicates higher hazard (shorter survival) in propagated patients.</w:t>
      </w:r>
    </w:p>
    <w:p>
      <w:pPr>
        <w:pStyle w:val="ListNumber"/>
      </w:pPr>
      <w:r>
        <w:t>Cox model covariates: OPM_O (8 categories), M_3class, age at onset (per 10 years), sex.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