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60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Um dado possui seis lados, destes: 3 são pares e 3 são ímpares. Ou seja: a probabilidade de se obter face de número par é de 50% que corresponde a 3/6.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ao número menor que três, a resposta é a mesma.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5429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</w:p>
    <w:p w:rsidR="00000000" w:rsidDel="00000000" w:rsidP="00000000" w:rsidRDefault="00000000" w:rsidRPr="00000000" w14:paraId="0000000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 livros=F+Q+M=20 livros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P(F)=5/20=1/4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P(M)=8/20=2/5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P(Q)=7/20</w:t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P(Q ou F)=5/20+7/20=12/20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probabilidade de ser um livro de química ou física é de 3/5 ou 60%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609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S= { {4,4}, {5,3}, {3,5}, {6,2}, {2,6}, {6,5}, {5,6}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7 possibilidades em 36=(7/36).100=19,44%</w:t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4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Par:</w:t>
      </w:r>
    </w:p>
    <w:p w:rsidR="00000000" w:rsidDel="00000000" w:rsidP="00000000" w:rsidRDefault="00000000" w:rsidRPr="00000000" w14:paraId="00000015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A=(2, 4, 6)</w:t>
      </w:r>
    </w:p>
    <w:p w:rsidR="00000000" w:rsidDel="00000000" w:rsidP="00000000" w:rsidRDefault="00000000" w:rsidRPr="00000000" w14:paraId="00000016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W=(1, 2, 3, 4, 5, 6)</w:t>
      </w:r>
    </w:p>
    <w:p w:rsidR="00000000" w:rsidDel="00000000" w:rsidP="00000000" w:rsidRDefault="00000000" w:rsidRPr="00000000" w14:paraId="00000017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P(A)=3/6=1/2=0,5=50%</w:t>
      </w:r>
    </w:p>
    <w:p w:rsidR="00000000" w:rsidDel="00000000" w:rsidP="00000000" w:rsidRDefault="00000000" w:rsidRPr="00000000" w14:paraId="00000018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Ímpar:</w:t>
      </w:r>
    </w:p>
    <w:p w:rsidR="00000000" w:rsidDel="00000000" w:rsidP="00000000" w:rsidRDefault="00000000" w:rsidRPr="00000000" w14:paraId="0000001A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A=(1, 3, 5)</w:t>
      </w:r>
    </w:p>
    <w:p w:rsidR="00000000" w:rsidDel="00000000" w:rsidP="00000000" w:rsidRDefault="00000000" w:rsidRPr="00000000" w14:paraId="0000001B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W=(1, 2, 3, 4, 5, 6)</w:t>
      </w:r>
    </w:p>
    <w:p w:rsidR="00000000" w:rsidDel="00000000" w:rsidP="00000000" w:rsidRDefault="00000000" w:rsidRPr="00000000" w14:paraId="0000001C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P(A)=3/6=1/2=0,5=50%</w:t>
      </w:r>
    </w:p>
    <w:p w:rsidR="00000000" w:rsidDel="00000000" w:rsidP="00000000" w:rsidRDefault="00000000" w:rsidRPr="00000000" w14:paraId="0000001D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90875" cy="53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 </w:t>
      </w:r>
      <w:r w:rsidDel="00000000" w:rsidR="00000000" w:rsidRPr="00000000">
        <w:rPr>
          <w:sz w:val="24"/>
          <w:szCs w:val="24"/>
          <w:rtl w:val="0"/>
        </w:rPr>
        <w:t xml:space="preserve">Ouros:</w:t>
      </w:r>
      <w:r w:rsidDel="00000000" w:rsidR="00000000" w:rsidRPr="00000000">
        <w:rPr>
          <w:sz w:val="24"/>
          <w:szCs w:val="24"/>
          <w:rtl w:val="0"/>
        </w:rPr>
        <w:t xml:space="preserve"> 1/4  e Valete: 1/13</w:t>
      </w:r>
    </w:p>
    <w:p w:rsidR="00000000" w:rsidDel="00000000" w:rsidP="00000000" w:rsidRDefault="00000000" w:rsidRPr="00000000" w14:paraId="0000001F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1825" cy="22383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1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</w:p>
    <w:p w:rsidR="00000000" w:rsidDel="00000000" w:rsidP="00000000" w:rsidRDefault="00000000" w:rsidRPr="00000000" w14:paraId="00000022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espaço amostral de uma moeda é 2(cara ou coroa)</w:t>
      </w:r>
    </w:p>
    <w:p w:rsidR="00000000" w:rsidDel="00000000" w:rsidP="00000000" w:rsidRDefault="00000000" w:rsidRPr="00000000" w14:paraId="00000023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espaço amostral de um dado é 6 (1,2,3,4,5 e 6)</w:t>
      </w:r>
    </w:p>
    <w:p w:rsidR="00000000" w:rsidDel="00000000" w:rsidP="00000000" w:rsidRDefault="00000000" w:rsidRPr="00000000" w14:paraId="0000002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simultaneamente tem um espaço amostral 12 (6x2=12)</w:t>
      </w:r>
    </w:p>
    <w:p w:rsidR="00000000" w:rsidDel="00000000" w:rsidP="00000000" w:rsidRDefault="00000000" w:rsidRPr="00000000" w14:paraId="00000025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26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A: </w:t>
      </w:r>
    </w:p>
    <w:p w:rsidR="00000000" w:rsidDel="00000000" w:rsidP="00000000" w:rsidRDefault="00000000" w:rsidRPr="00000000" w14:paraId="0000002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Probabilidade da moeda:1/2</w:t>
      </w:r>
    </w:p>
    <w:p w:rsidR="00000000" w:rsidDel="00000000" w:rsidP="00000000" w:rsidRDefault="00000000" w:rsidRPr="00000000" w14:paraId="00000028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Probabilidade do dado:3/6</w:t>
      </w:r>
    </w:p>
    <w:p w:rsidR="00000000" w:rsidDel="00000000" w:rsidP="00000000" w:rsidRDefault="00000000" w:rsidRPr="00000000" w14:paraId="00000029">
      <w:pPr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5238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probabilidade é de ⅓</w:t>
      </w:r>
    </w:p>
    <w:p w:rsidR="00000000" w:rsidDel="00000000" w:rsidP="00000000" w:rsidRDefault="00000000" w:rsidRPr="00000000" w14:paraId="0000002B">
      <w:pPr>
        <w:spacing w:before="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162300" cy="8096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895350</wp:posOffset>
            </wp:positionV>
            <wp:extent cx="390525" cy="29527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before="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</w:p>
    <w:p w:rsidR="00000000" w:rsidDel="00000000" w:rsidP="00000000" w:rsidRDefault="00000000" w:rsidRPr="00000000" w14:paraId="0000002D">
      <w:pPr>
        <w:spacing w:before="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3209925" cy="2466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20%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40%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66,66%</w:t>
      </w:r>
    </w:p>
    <w:p w:rsidR="00000000" w:rsidDel="00000000" w:rsidP="00000000" w:rsidRDefault="00000000" w:rsidRPr="00000000" w14:paraId="00000033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114675" cy="533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2/13</w:t>
      </w:r>
    </w:p>
    <w:p w:rsidR="00000000" w:rsidDel="00000000" w:rsidP="00000000" w:rsidRDefault="00000000" w:rsidRPr="00000000" w14:paraId="00000035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200400" cy="1866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228975" cy="22669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2819400" cy="133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3133725" cy="15335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39,8%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40%</w:t>
      </w:r>
    </w:p>
    <w:p w:rsidR="00000000" w:rsidDel="00000000" w:rsidP="00000000" w:rsidRDefault="00000000" w:rsidRPr="00000000" w14:paraId="0000003C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219450" cy="8953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lineRule="auto"/>
        <w:ind w:left="72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1/15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before="0" w:lineRule="auto"/>
        <w:ind w:left="720" w:hanging="36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7/15</w:t>
      </w:r>
    </w:p>
    <w:p w:rsidR="00000000" w:rsidDel="00000000" w:rsidP="00000000" w:rsidRDefault="00000000" w:rsidRPr="00000000" w14:paraId="00000041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171825" cy="7048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⅓</w:t>
      </w:r>
    </w:p>
    <w:p w:rsidR="00000000" w:rsidDel="00000000" w:rsidP="00000000" w:rsidRDefault="00000000" w:rsidRPr="00000000" w14:paraId="00000044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086100" cy="381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Há 50% de cair um número par em um dado e 16,6% de cair 5 no outro</w:t>
      </w:r>
    </w:p>
    <w:p w:rsidR="00000000" w:rsidDel="00000000" w:rsidP="00000000" w:rsidRDefault="00000000" w:rsidRPr="00000000" w14:paraId="00000046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105150" cy="16954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19/20</w:t>
      </w:r>
    </w:p>
    <w:p w:rsidR="00000000" w:rsidDel="00000000" w:rsidP="00000000" w:rsidRDefault="00000000" w:rsidRPr="00000000" w14:paraId="00000048">
      <w:pPr>
        <w:spacing w:before="0" w:lineRule="auto"/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3314700" cy="27908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Rule="auto"/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R: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2,1%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13,6%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14,4%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14,7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85,3%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Os eventos não são exclusivos</w:t>
      </w:r>
    </w:p>
    <w:p w:rsidR="00000000" w:rsidDel="00000000" w:rsidP="00000000" w:rsidRDefault="00000000" w:rsidRPr="00000000" w14:paraId="00000050">
      <w:pPr>
        <w:spacing w:before="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5731200" cy="1231900"/>
          <wp:effectExtent b="0" l="0" r="0" t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231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19" Type="http://schemas.openxmlformats.org/officeDocument/2006/relationships/image" Target="media/image20.png"/><Relationship Id="rId1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