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C8A"/>
          <w:sz w:val="40"/>
          <w:szCs w:val="40"/>
        </w:rPr>
        <w:t xml:space="preserve">Opbouw van de Opleiding</w:t>
      </w:r>
    </w:p>
    <w:p>
      <w:pPr>
        <w:spacing w:after="300"/>
      </w:pPr>
      <w:r>
        <w:rPr>
          <w:i/>
          <w:iCs/>
          <w:color w:val="555555"/>
          <w:sz w:val="22"/>
          <w:szCs w:val="22"/>
        </w:rPr>
        <w:t xml:space="preserve">Levels, trajecten, units en vakken — curriculum 26-27</w:t>
      </w:r>
    </w:p>
    <w:p>
      <w:pPr>
        <w:pStyle w:val="Heading1"/>
        <w:spacing w:after="150" w:before="320"/>
      </w:pPr>
      <w:r>
        <w:t xml:space="preserve">1. Visie achter de nieuwe opzet</w:t>
      </w:r>
    </w:p>
    <w:p>
      <w:pPr>
        <w:spacing w:after="120"/>
      </w:pPr>
      <w:r>
        <w:t xml:space="preserve">De opleiding is vernieuwd vanuit een aantal uitgangspunten:</w:t>
      </w:r>
    </w:p>
    <w:p>
      <w:pPr>
        <w:pStyle w:val="ListParagraph"/>
        <w:numPr>
          <w:ilvl w:val="0"/>
          <w:numId w:val="2"/>
        </w:numPr>
        <w:spacing w:after="70"/>
      </w:pPr>
      <w:r>
        <w:t xml:space="preserve">Student centraal</w:t>
      </w:r>
    </w:p>
    <w:p>
      <w:pPr>
        <w:pStyle w:val="ListParagraph"/>
        <w:numPr>
          <w:ilvl w:val="0"/>
          <w:numId w:val="2"/>
        </w:numPr>
        <w:spacing w:after="70"/>
      </w:pPr>
      <w:r>
        <w:t xml:space="preserve">Meer focus op houding, samenwerken en gedrag</w:t>
      </w:r>
    </w:p>
    <w:p>
      <w:pPr>
        <w:pStyle w:val="ListParagraph"/>
        <w:numPr>
          <w:ilvl w:val="0"/>
          <w:numId w:val="2"/>
        </w:numPr>
        <w:spacing w:after="70"/>
      </w:pPr>
      <w:r>
        <w:t xml:space="preserve">Leren op eigen tempo versimpelen</w:t>
      </w:r>
    </w:p>
    <w:p>
      <w:pPr>
        <w:pStyle w:val="ListParagraph"/>
        <w:numPr>
          <w:ilvl w:val="0"/>
          <w:numId w:val="2"/>
        </w:numPr>
        <w:spacing w:after="70"/>
      </w:pPr>
      <w:r>
        <w:t xml:space="preserve">Inspelen op de behoefte van de student</w:t>
      </w:r>
    </w:p>
    <w:p>
      <w:pPr>
        <w:pStyle w:val="ListParagraph"/>
        <w:numPr>
          <w:ilvl w:val="0"/>
          <w:numId w:val="2"/>
        </w:numPr>
        <w:spacing w:after="70"/>
      </w:pPr>
      <w:r>
        <w:t xml:space="preserve">Slim en verantwoord inzetten van AI</w:t>
      </w:r>
    </w:p>
    <w:p>
      <w:pPr>
        <w:pStyle w:val="ListParagraph"/>
        <w:numPr>
          <w:ilvl w:val="0"/>
          <w:numId w:val="2"/>
        </w:numPr>
        <w:spacing w:after="70"/>
      </w:pPr>
      <w:r>
        <w:t xml:space="preserve">Beter voorbereid zijn op technologische ontwikkelingen</w:t>
      </w:r>
    </w:p>
    <w:p>
      <w:pPr>
        <w:pStyle w:val="Heading1"/>
        <w:spacing w:after="150" w:before="320"/>
      </w:pPr>
      <w:r>
        <w:t xml:space="preserve">2. Trajecten</w:t>
      </w:r>
    </w:p>
    <w:p>
      <w:pPr>
        <w:spacing w:after="120"/>
      </w:pPr>
      <w:r>
        <w:t xml:space="preserve">De opleiding duurt in de reguliere opzet vier jaar en is verdeeld over vier leerjaren. Er zijn daarnaast voorbeelden van een verlengd en een versneld traject, afhankelijk van het tempo van de student.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pct" w:w="25%"/>
            <w:shd w:fill="2E5C8A" w:color="auto" w:val="clear"/>
            <w:tcMar>
              <w:top w:type="dxa" w:w="100"/>
              <w:left w:type="dxa" w:w="120"/>
              <w:bottom w:type="dxa" w:w="100"/>
              <w:right w:type="dxa" w:w="120"/>
            </w:tcMar>
          </w:tcPr>
          <w:p>
            <w:pPr>
              <w:spacing w:after="0"/>
            </w:pPr>
            <w:r>
              <w:rPr>
                <w:b/>
                <w:bCs/>
                <w:color w:val="FFFFFF"/>
              </w:rPr>
              <w:t xml:space="preserve">Traject</w:t>
            </w:r>
          </w:p>
        </w:tc>
        <w:tc>
          <w:tcPr>
            <w:tcW w:type="pct" w:w="25%"/>
            <w:shd w:fill="2E5C8A" w:color="auto" w:val="clear"/>
            <w:tcMar>
              <w:top w:type="dxa" w:w="100"/>
              <w:left w:type="dxa" w:w="120"/>
              <w:bottom w:type="dxa" w:w="100"/>
              <w:right w:type="dxa" w:w="120"/>
            </w:tcMar>
          </w:tcPr>
          <w:p>
            <w:pPr>
              <w:spacing w:after="0"/>
            </w:pPr>
            <w:r>
              <w:rPr>
                <w:b/>
                <w:bCs/>
                <w:color w:val="FFFFFF"/>
              </w:rPr>
              <w:t xml:space="preserve">Toelichting</w:t>
            </w:r>
          </w:p>
        </w:tc>
      </w:tr>
      <w:tr>
        <w:tc>
          <w:tcPr>
            <w:tcW w:type="pct" w:w="25%"/>
            <w:tcMar>
              <w:top w:type="dxa" w:w="100"/>
              <w:left w:type="dxa" w:w="120"/>
              <w:bottom w:type="dxa" w:w="100"/>
              <w:right w:type="dxa" w:w="120"/>
            </w:tcMar>
          </w:tcPr>
          <w:p>
            <w:pPr>
              <w:spacing w:after="0"/>
            </w:pPr>
            <w:r>
              <w:rPr>
                <w:b/>
                <w:bCs/>
              </w:rPr>
              <w:t xml:space="preserve">Regulier</w:t>
            </w:r>
          </w:p>
        </w:tc>
        <w:tc>
          <w:tcPr>
            <w:tcW w:type="pct" w:w="25%"/>
            <w:tcMar>
              <w:top w:type="dxa" w:w="100"/>
              <w:left w:type="dxa" w:w="120"/>
              <w:bottom w:type="dxa" w:w="100"/>
              <w:right w:type="dxa" w:w="120"/>
            </w:tcMar>
          </w:tcPr>
          <w:p>
            <w:pPr>
              <w:spacing w:after="0"/>
            </w:pPr>
            <w:r>
              <w:rPr>
                <w:b w:val="false"/>
                <w:bCs w:val="false"/>
              </w:rPr>
              <w:t xml:space="preserve">Standaard opbouw over 4 leerjaren: level 1 in leerjaar 1, level 2 in leerjaar 2-3, level 3 in leerjaar 4.</w:t>
            </w:r>
          </w:p>
        </w:tc>
      </w:tr>
      <w:tr>
        <w:tc>
          <w:tcPr>
            <w:tcW w:type="pct" w:w="25%"/>
            <w:shd w:fill="EAF1F8" w:color="auto" w:val="clear"/>
            <w:tcMar>
              <w:top w:type="dxa" w:w="100"/>
              <w:left w:type="dxa" w:w="120"/>
              <w:bottom w:type="dxa" w:w="100"/>
              <w:right w:type="dxa" w:w="120"/>
            </w:tcMar>
          </w:tcPr>
          <w:p>
            <w:pPr>
              <w:spacing w:after="0"/>
            </w:pPr>
            <w:r>
              <w:rPr>
                <w:b/>
                <w:bCs/>
              </w:rPr>
              <w:t xml:space="preserve">Verlengd traject</w:t>
            </w:r>
          </w:p>
        </w:tc>
        <w:tc>
          <w:tcPr>
            <w:tcW w:type="pct" w:w="25%"/>
            <w:shd w:fill="EAF1F8" w:color="auto" w:val="clear"/>
            <w:tcMar>
              <w:top w:type="dxa" w:w="100"/>
              <w:left w:type="dxa" w:w="120"/>
              <w:bottom w:type="dxa" w:w="100"/>
              <w:right w:type="dxa" w:w="120"/>
            </w:tcMar>
          </w:tcPr>
          <w:p>
            <w:pPr>
              <w:spacing w:after="0"/>
            </w:pPr>
            <w:r>
              <w:rPr>
                <w:b w:val="false"/>
                <w:bCs w:val="false"/>
              </w:rPr>
              <w:t xml:space="preserve">Voorbeeld waarbij een student langer de tijd krijgt, bijvoorbeeld level 1 uitgesmeerd over een langere periode.</w:t>
            </w:r>
          </w:p>
        </w:tc>
      </w:tr>
      <w:tr>
        <w:tc>
          <w:tcPr>
            <w:tcW w:type="pct" w:w="25%"/>
            <w:tcMar>
              <w:top w:type="dxa" w:w="100"/>
              <w:left w:type="dxa" w:w="120"/>
              <w:bottom w:type="dxa" w:w="100"/>
              <w:right w:type="dxa" w:w="120"/>
            </w:tcMar>
          </w:tcPr>
          <w:p>
            <w:pPr>
              <w:spacing w:after="0"/>
            </w:pPr>
            <w:r>
              <w:rPr>
                <w:b/>
                <w:bCs/>
              </w:rPr>
              <w:t xml:space="preserve">Versneld traject</w:t>
            </w:r>
          </w:p>
        </w:tc>
        <w:tc>
          <w:tcPr>
            <w:tcW w:type="pct" w:w="25%"/>
            <w:tcMar>
              <w:top w:type="dxa" w:w="100"/>
              <w:left w:type="dxa" w:w="120"/>
              <w:bottom w:type="dxa" w:w="100"/>
              <w:right w:type="dxa" w:w="120"/>
            </w:tcMar>
          </w:tcPr>
          <w:p>
            <w:pPr>
              <w:spacing w:after="0"/>
            </w:pPr>
            <w:r>
              <w:rPr>
                <w:b w:val="false"/>
                <w:bCs w:val="false"/>
              </w:rPr>
              <w:t xml:space="preserve">Voorbeeld waarbij een student sneller doorstroomt: de opleiding kan binnen 3 jaar worden afgerond als de student in level 1 al vroeg zelfstandig kan aantonen dat hij/zij leeruitkomsten kan bewijzen en bewijslast kan aanleveren.</w:t>
            </w:r>
          </w:p>
        </w:tc>
      </w:tr>
    </w:tbl>
    <w:p>
      <w:pPr>
        <w:spacing w:after="200"/>
      </w:pPr>
    </w:p>
    <w:p>
      <w:pPr>
        <w:pStyle w:val="Heading1"/>
        <w:spacing w:after="150" w:before="320"/>
      </w:pPr>
      <w:r>
        <w:t xml:space="preserve">3. De drie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00"/>
      </w:tblGrid>
      <w:tr>
        <w:trPr>
          <w:tblHeader/>
        </w:trPr>
        <w:tc>
          <w:tcPr>
            <w:tcW w:type="pct" w:w="25%"/>
            <w:shd w:fill="2E5C8A" w:color="auto" w:val="clear"/>
            <w:tcMar>
              <w:top w:type="dxa" w:w="100"/>
              <w:left w:type="dxa" w:w="120"/>
              <w:bottom w:type="dxa" w:w="100"/>
              <w:right w:type="dxa" w:w="120"/>
            </w:tcMar>
          </w:tcPr>
          <w:p>
            <w:pPr>
              <w:spacing w:after="0"/>
            </w:pPr>
            <w:r>
              <w:rPr>
                <w:b/>
                <w:bCs/>
                <w:color w:val="FFFFFF"/>
              </w:rPr>
              <w:t xml:space="preserve">Level</w:t>
            </w:r>
          </w:p>
        </w:tc>
        <w:tc>
          <w:tcPr>
            <w:tcW w:type="pct" w:w="25%"/>
            <w:shd w:fill="2E5C8A" w:color="auto" w:val="clear"/>
            <w:tcMar>
              <w:top w:type="dxa" w:w="100"/>
              <w:left w:type="dxa" w:w="120"/>
              <w:bottom w:type="dxa" w:w="100"/>
              <w:right w:type="dxa" w:w="120"/>
            </w:tcMar>
          </w:tcPr>
          <w:p>
            <w:pPr>
              <w:spacing w:after="0"/>
            </w:pPr>
            <w:r>
              <w:rPr>
                <w:b/>
                <w:bCs/>
                <w:color w:val="FFFFFF"/>
              </w:rPr>
              <w:t xml:space="preserve">Naam</w:t>
            </w:r>
          </w:p>
        </w:tc>
        <w:tc>
          <w:tcPr>
            <w:tcW w:type="pct" w:w="25%"/>
            <w:shd w:fill="2E5C8A" w:color="auto" w:val="clear"/>
            <w:tcMar>
              <w:top w:type="dxa" w:w="100"/>
              <w:left w:type="dxa" w:w="120"/>
              <w:bottom w:type="dxa" w:w="100"/>
              <w:right w:type="dxa" w:w="120"/>
            </w:tcMar>
          </w:tcPr>
          <w:p>
            <w:pPr>
              <w:spacing w:after="0"/>
            </w:pPr>
            <w:r>
              <w:rPr>
                <w:b/>
                <w:bCs/>
                <w:color w:val="FFFFFF"/>
              </w:rPr>
              <w:t xml:space="preserve">Kern</w:t>
            </w:r>
          </w:p>
        </w:tc>
      </w:tr>
      <w:tr>
        <w:tc>
          <w:tcPr>
            <w:tcW w:type="pct" w:w="25%"/>
            <w:tcMar>
              <w:top w:type="dxa" w:w="100"/>
              <w:left w:type="dxa" w:w="120"/>
              <w:bottom w:type="dxa" w:w="100"/>
              <w:right w:type="dxa" w:w="120"/>
            </w:tcMar>
          </w:tcPr>
          <w:p>
            <w:pPr>
              <w:spacing w:after="0"/>
            </w:pPr>
            <w:r>
              <w:rPr>
                <w:b/>
                <w:bCs/>
              </w:rPr>
              <w:t xml:space="preserve">Level 1</w:t>
            </w:r>
          </w:p>
        </w:tc>
        <w:tc>
          <w:tcPr>
            <w:tcW w:type="pct" w:w="25%"/>
            <w:tcMar>
              <w:top w:type="dxa" w:w="100"/>
              <w:left w:type="dxa" w:w="120"/>
              <w:bottom w:type="dxa" w:w="100"/>
              <w:right w:type="dxa" w:w="120"/>
            </w:tcMar>
          </w:tcPr>
          <w:p>
            <w:pPr>
              <w:spacing w:after="0"/>
            </w:pPr>
            <w:r>
              <w:rPr>
                <w:b w:val="false"/>
                <w:bCs w:val="false"/>
              </w:rPr>
              <w:t xml:space="preserve">Fundamentals</w:t>
            </w:r>
          </w:p>
        </w:tc>
        <w:tc>
          <w:tcPr>
            <w:tcW w:type="pct" w:w="25%"/>
            <w:tcMar>
              <w:top w:type="dxa" w:w="100"/>
              <w:left w:type="dxa" w:w="120"/>
              <w:bottom w:type="dxa" w:w="100"/>
              <w:right w:type="dxa" w:w="120"/>
            </w:tcMar>
          </w:tcPr>
          <w:p>
            <w:pPr>
              <w:spacing w:after="0"/>
            </w:pPr>
            <w:r>
              <w:rPr>
                <w:b w:val="false"/>
                <w:bCs w:val="false"/>
              </w:rPr>
              <w:t xml:space="preserve">Basis webdevelopment: front-end (HTML &amp; CSS). Leeruitkomsten worden aangeleverd; wij geven aan hoe deze aangetoond moeten worden. Duurt 24 weken.</w:t>
            </w:r>
          </w:p>
        </w:tc>
      </w:tr>
      <w:tr>
        <w:tc>
          <w:tcPr>
            <w:tcW w:type="pct" w:w="25%"/>
            <w:shd w:fill="EAF1F8" w:color="auto" w:val="clear"/>
            <w:tcMar>
              <w:top w:type="dxa" w:w="100"/>
              <w:left w:type="dxa" w:w="120"/>
              <w:bottom w:type="dxa" w:w="100"/>
              <w:right w:type="dxa" w:w="120"/>
            </w:tcMar>
          </w:tcPr>
          <w:p>
            <w:pPr>
              <w:spacing w:after="0"/>
            </w:pPr>
            <w:r>
              <w:rPr>
                <w:b/>
                <w:bCs/>
              </w:rPr>
              <w:t xml:space="preserve">Level 2</w:t>
            </w:r>
          </w:p>
        </w:tc>
        <w:tc>
          <w:tcPr>
            <w:tcW w:type="pct" w:w="25%"/>
            <w:shd w:fill="EAF1F8" w:color="auto" w:val="clear"/>
            <w:tcMar>
              <w:top w:type="dxa" w:w="100"/>
              <w:left w:type="dxa" w:w="120"/>
              <w:bottom w:type="dxa" w:w="100"/>
              <w:right w:type="dxa" w:w="120"/>
            </w:tcMar>
          </w:tcPr>
          <w:p>
            <w:pPr>
              <w:spacing w:after="0"/>
            </w:pPr>
            <w:r>
              <w:rPr>
                <w:b w:val="false"/>
                <w:bCs w:val="false"/>
              </w:rPr>
              <w:t xml:space="preserve">Professionaliseren</w:t>
            </w:r>
          </w:p>
        </w:tc>
        <w:tc>
          <w:tcPr>
            <w:tcW w:type="pct" w:w="25%"/>
            <w:shd w:fill="EAF1F8" w:color="auto" w:val="clear"/>
            <w:tcMar>
              <w:top w:type="dxa" w:w="100"/>
              <w:left w:type="dxa" w:w="120"/>
              <w:bottom w:type="dxa" w:w="100"/>
              <w:right w:type="dxa" w:w="120"/>
            </w:tcMar>
          </w:tcPr>
          <w:p>
            <w:pPr>
              <w:spacing w:after="0"/>
            </w:pPr>
            <w:r>
              <w:rPr>
                <w:b w:val="false"/>
                <w:bCs w:val="false"/>
              </w:rPr>
              <w:t xml:space="preserve">Studenten leren zelf leeruitkomsten te kiezen en zelf te bepalen hoe ze deze bewijzen. Zelf keuzes maken in modules, complexere challenges, eigen tempo bepalen.</w:t>
            </w:r>
          </w:p>
        </w:tc>
      </w:tr>
      <w:tr>
        <w:tc>
          <w:tcPr>
            <w:tcW w:type="pct" w:w="25%"/>
            <w:tcMar>
              <w:top w:type="dxa" w:w="100"/>
              <w:left w:type="dxa" w:w="120"/>
              <w:bottom w:type="dxa" w:w="100"/>
              <w:right w:type="dxa" w:w="120"/>
            </w:tcMar>
          </w:tcPr>
          <w:p>
            <w:pPr>
              <w:spacing w:after="0"/>
            </w:pPr>
            <w:r>
              <w:rPr>
                <w:b/>
                <w:bCs/>
              </w:rPr>
              <w:t xml:space="preserve">Level 3</w:t>
            </w:r>
          </w:p>
        </w:tc>
        <w:tc>
          <w:tcPr>
            <w:tcW w:type="pct" w:w="25%"/>
            <w:tcMar>
              <w:top w:type="dxa" w:w="100"/>
              <w:left w:type="dxa" w:w="120"/>
              <w:bottom w:type="dxa" w:w="100"/>
              <w:right w:type="dxa" w:w="120"/>
            </w:tcMar>
          </w:tcPr>
          <w:p>
            <w:pPr>
              <w:spacing w:after="0"/>
            </w:pPr>
            <w:r>
              <w:rPr>
                <w:b w:val="false"/>
                <w:bCs w:val="false"/>
              </w:rPr>
              <w:t xml:space="preserve">Beroepsgericht (examen &amp; stage)</w:t>
            </w:r>
          </w:p>
        </w:tc>
        <w:tc>
          <w:tcPr>
            <w:tcW w:type="pct" w:w="25%"/>
            <w:tcMar>
              <w:top w:type="dxa" w:w="100"/>
              <w:left w:type="dxa" w:w="120"/>
              <w:bottom w:type="dxa" w:w="100"/>
              <w:right w:type="dxa" w:w="120"/>
            </w:tcMar>
          </w:tcPr>
          <w:p>
            <w:pPr>
              <w:spacing w:after="0"/>
            </w:pPr>
            <w:r>
              <w:rPr>
                <w:b w:val="false"/>
                <w:bCs w:val="false"/>
              </w:rPr>
              <w:t xml:space="preserve">BPV (stage), échte challenges uit het werkveld, communicatie met externen, blik op de toekomst. Afronding van de opleiding met examinering.</w:t>
            </w:r>
          </w:p>
        </w:tc>
      </w:tr>
    </w:tbl>
    <w:p>
      <w:pPr>
        <w:spacing w:after="200"/>
      </w:pPr>
    </w:p>
    <w:p>
      <w:pPr>
        <w:pStyle w:val="Heading2"/>
        <w:spacing w:after="100" w:before="220"/>
      </w:pPr>
      <w:r>
        <w:t xml:space="preserve">Level 1 in detail: de fundamentals</w:t>
      </w:r>
    </w:p>
    <w:p>
      <w:pPr>
        <w:spacing w:after="120"/>
      </w:pPr>
      <w:r>
        <w:t xml:space="preserve">Level 1 duurt in totaal 24 weken en bestaat uit 6 units van elk 4 weken (basis webdevelopment: front-end met HTML en CSS). Hiernaast lopen gedurende de volledige 24 weken ook overige onderwijsactiviteiten:</w:t>
      </w:r>
    </w:p>
    <w:p>
      <w:pPr>
        <w:pStyle w:val="ListParagraph"/>
        <w:numPr>
          <w:ilvl w:val="0"/>
          <w:numId w:val="2"/>
        </w:numPr>
        <w:spacing w:after="70"/>
      </w:pPr>
      <w:r>
        <w:t xml:space="preserve">Mentoruur en mentorgesprekken</w:t>
      </w:r>
    </w:p>
    <w:p>
      <w:pPr>
        <w:pStyle w:val="ListParagraph"/>
        <w:numPr>
          <w:ilvl w:val="0"/>
          <w:numId w:val="2"/>
        </w:numPr>
        <w:spacing w:after="70"/>
      </w:pPr>
      <w:r>
        <w:t xml:space="preserve">Nederlands en Engels</w:t>
      </w:r>
    </w:p>
    <w:p>
      <w:pPr>
        <w:pStyle w:val="ListParagraph"/>
        <w:numPr>
          <w:ilvl w:val="0"/>
          <w:numId w:val="2"/>
        </w:numPr>
        <w:spacing w:after="70"/>
      </w:pPr>
      <w:r>
        <w:t xml:space="preserve">Burgerschap</w:t>
      </w:r>
    </w:p>
    <w:p>
      <w:pPr>
        <w:pStyle w:val="ListParagraph"/>
        <w:numPr>
          <w:ilvl w:val="0"/>
          <w:numId w:val="2"/>
        </w:numPr>
        <w:spacing w:after="70"/>
      </w:pPr>
      <w:r>
        <w:t xml:space="preserve">Keuzedeel</w:t>
      </w:r>
    </w:p>
    <w:p>
      <w:pPr>
        <w:pStyle w:val="ListParagraph"/>
        <w:numPr>
          <w:ilvl w:val="0"/>
          <w:numId w:val="2"/>
        </w:numPr>
        <w:spacing w:after="70"/>
      </w:pPr>
      <w:r>
        <w:t xml:space="preserve">Loopbaan</w:t>
      </w:r>
    </w:p>
    <w:p>
      <w:pPr>
        <w:spacing w:after="120"/>
      </w:pPr>
      <w:r>
        <w:t xml:space="preserve">Aan het einde van level 1 volgt het bindend studieadvies (BSA).</w:t>
      </w:r>
    </w:p>
    <w:p>
      <w:pPr>
        <w:pStyle w:val="Heading2"/>
        <w:spacing w:after="100" w:before="220"/>
      </w:pPr>
      <w:r>
        <w:t xml:space="preserve">Level 2 en Level 3 in detail</w:t>
      </w:r>
    </w:p>
    <w:p>
      <w:pPr>
        <w:spacing w:after="120"/>
      </w:pPr>
      <w:r>
        <w:t xml:space="preserve">Level 2 — Professionaliseren:</w:t>
      </w:r>
    </w:p>
    <w:p>
      <w:pPr>
        <w:pStyle w:val="ListParagraph"/>
        <w:numPr>
          <w:ilvl w:val="0"/>
          <w:numId w:val="2"/>
        </w:numPr>
        <w:spacing w:after="70"/>
      </w:pPr>
      <w:r>
        <w:t xml:space="preserve">Zelf keuzes maken in modules</w:t>
      </w:r>
    </w:p>
    <w:p>
      <w:pPr>
        <w:pStyle w:val="ListParagraph"/>
        <w:numPr>
          <w:ilvl w:val="0"/>
          <w:numId w:val="2"/>
        </w:numPr>
        <w:spacing w:after="70"/>
      </w:pPr>
      <w:r>
        <w:t xml:space="preserve">Complexere challenges</w:t>
      </w:r>
    </w:p>
    <w:p>
      <w:pPr>
        <w:pStyle w:val="ListParagraph"/>
        <w:numPr>
          <w:ilvl w:val="0"/>
          <w:numId w:val="2"/>
        </w:numPr>
        <w:spacing w:after="70"/>
      </w:pPr>
      <w:r>
        <w:t xml:space="preserve">Tempo zelf bepalen</w:t>
      </w:r>
    </w:p>
    <w:p>
      <w:pPr>
        <w:spacing w:after="120"/>
      </w:pPr>
      <w:r>
        <w:t xml:space="preserve">Level 3 — Beroepsgericht:</w:t>
      </w:r>
    </w:p>
    <w:p>
      <w:pPr>
        <w:pStyle w:val="ListParagraph"/>
        <w:numPr>
          <w:ilvl w:val="0"/>
          <w:numId w:val="2"/>
        </w:numPr>
        <w:spacing w:after="70"/>
      </w:pPr>
      <w:r>
        <w:t xml:space="preserve">BPV (stage)</w:t>
      </w:r>
    </w:p>
    <w:p>
      <w:pPr>
        <w:pStyle w:val="ListParagraph"/>
        <w:numPr>
          <w:ilvl w:val="0"/>
          <w:numId w:val="2"/>
        </w:numPr>
        <w:spacing w:after="70"/>
      </w:pPr>
      <w:r>
        <w:t xml:space="preserve">Échte challenges uit het werkveld</w:t>
      </w:r>
    </w:p>
    <w:p>
      <w:pPr>
        <w:pStyle w:val="ListParagraph"/>
        <w:numPr>
          <w:ilvl w:val="0"/>
          <w:numId w:val="2"/>
        </w:numPr>
        <w:spacing w:after="70"/>
      </w:pPr>
      <w:r>
        <w:t xml:space="preserve">Communicatie met externen</w:t>
      </w:r>
    </w:p>
    <w:p>
      <w:pPr>
        <w:pStyle w:val="ListParagraph"/>
        <w:numPr>
          <w:ilvl w:val="0"/>
          <w:numId w:val="2"/>
        </w:numPr>
        <w:spacing w:after="70"/>
      </w:pPr>
      <w:r>
        <w:t xml:space="preserve">Blik op de toekomst</w:t>
      </w:r>
    </w:p>
    <w:p>
      <w:pPr>
        <w:pStyle w:val="Heading1"/>
        <w:spacing w:after="150" w:before="320"/>
      </w:pPr>
      <w:r>
        <w:t xml:space="preserve">4. De leerlijnen</w:t>
      </w:r>
    </w:p>
    <w:p>
      <w:pPr>
        <w:spacing w:after="120"/>
      </w:pPr>
      <w:r>
        <w:t xml:space="preserve">Door alle levels heen lopen vijf leerlijnen:</w:t>
      </w:r>
    </w:p>
    <w:p>
      <w:pPr>
        <w:pStyle w:val="ListParagraph"/>
        <w:numPr>
          <w:ilvl w:val="0"/>
          <w:numId w:val="2"/>
        </w:numPr>
        <w:spacing w:after="70"/>
      </w:pPr>
      <w:r>
        <w:t xml:space="preserve">Persoonlijke &amp; professionele ontwikkeling</w:t>
      </w:r>
    </w:p>
    <w:p>
      <w:pPr>
        <w:pStyle w:val="ListParagraph"/>
        <w:numPr>
          <w:ilvl w:val="0"/>
          <w:numId w:val="2"/>
        </w:numPr>
        <w:spacing w:after="70"/>
      </w:pPr>
      <w:r>
        <w:t xml:space="preserve">Projectmatig werken</w:t>
      </w:r>
    </w:p>
    <w:p>
      <w:pPr>
        <w:pStyle w:val="ListParagraph"/>
        <w:numPr>
          <w:ilvl w:val="0"/>
          <w:numId w:val="2"/>
        </w:numPr>
        <w:spacing w:after="70"/>
      </w:pPr>
      <w:r>
        <w:t xml:space="preserve">Veilig &amp; verantwoord ontwikkelen</w:t>
      </w:r>
    </w:p>
    <w:p>
      <w:pPr>
        <w:pStyle w:val="ListParagraph"/>
        <w:numPr>
          <w:ilvl w:val="0"/>
          <w:numId w:val="2"/>
        </w:numPr>
        <w:spacing w:after="70"/>
      </w:pPr>
      <w:r>
        <w:t xml:space="preserve">Programmeren &amp; tools</w:t>
      </w:r>
    </w:p>
    <w:p>
      <w:pPr>
        <w:pStyle w:val="ListParagraph"/>
        <w:numPr>
          <w:ilvl w:val="0"/>
          <w:numId w:val="2"/>
        </w:numPr>
        <w:spacing w:after="70"/>
      </w:pPr>
      <w:r>
        <w:t xml:space="preserve">Generiek</w:t>
      </w:r>
    </w:p>
    <w:p>
      <w:pPr>
        <w:pStyle w:val="Heading1"/>
        <w:spacing w:after="150" w:before="320"/>
      </w:pPr>
      <w:r>
        <w:t xml:space="preserve">5. Opbouw van een unit (4 weken)</w:t>
      </w:r>
    </w:p>
    <w:p>
      <w:pPr>
        <w:spacing w:after="120"/>
      </w:pPr>
      <w:r>
        <w:t xml:space="preserve">Een unit van 4 weken is opgebouwd uit de volgende onderdelen: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00"/>
      </w:tblGrid>
      <w:tr>
        <w:trPr>
          <w:tblHeader/>
        </w:trPr>
        <w:tc>
          <w:tcPr>
            <w:tcW w:type="pct" w:w="25%"/>
            <w:shd w:fill="2E5C8A" w:color="auto" w:val="clear"/>
            <w:tcMar>
              <w:top w:type="dxa" w:w="100"/>
              <w:left w:type="dxa" w:w="120"/>
              <w:bottom w:type="dxa" w:w="100"/>
              <w:right w:type="dxa" w:w="120"/>
            </w:tcMar>
          </w:tcPr>
          <w:p>
            <w:pPr>
              <w:spacing w:after="0"/>
            </w:pPr>
            <w:r>
              <w:rPr>
                <w:b/>
                <w:bCs/>
                <w:color w:val="FFFFFF"/>
              </w:rPr>
              <w:t xml:space="preserve">Onderdeel</w:t>
            </w:r>
          </w:p>
        </w:tc>
        <w:tc>
          <w:tcPr>
            <w:tcW w:type="pct" w:w="25%"/>
            <w:shd w:fill="2E5C8A" w:color="auto" w:val="clear"/>
            <w:tcMar>
              <w:top w:type="dxa" w:w="100"/>
              <w:left w:type="dxa" w:w="120"/>
              <w:bottom w:type="dxa" w:w="100"/>
              <w:right w:type="dxa" w:w="120"/>
            </w:tcMar>
          </w:tcPr>
          <w:p>
            <w:pPr>
              <w:spacing w:after="0"/>
            </w:pPr>
            <w:r>
              <w:rPr>
                <w:b/>
                <w:bCs/>
                <w:color w:val="FFFFFF"/>
              </w:rPr>
              <w:t xml:space="preserve">Duur</w:t>
            </w:r>
          </w:p>
        </w:tc>
        <w:tc>
          <w:tcPr>
            <w:tcW w:type="pct" w:w="25%"/>
            <w:shd w:fill="2E5C8A" w:color="auto" w:val="clear"/>
            <w:tcMar>
              <w:top w:type="dxa" w:w="100"/>
              <w:left w:type="dxa" w:w="120"/>
              <w:bottom w:type="dxa" w:w="100"/>
              <w:right w:type="dxa" w:w="120"/>
            </w:tcMar>
          </w:tcPr>
          <w:p>
            <w:pPr>
              <w:spacing w:after="0"/>
            </w:pPr>
            <w:r>
              <w:rPr>
                <w:b/>
                <w:bCs/>
                <w:color w:val="FFFFFF"/>
              </w:rPr>
              <w:t xml:space="preserve">Toelichting</w:t>
            </w:r>
          </w:p>
        </w:tc>
      </w:tr>
      <w:tr>
        <w:tc>
          <w:tcPr>
            <w:tcW w:type="pct" w:w="25%"/>
            <w:tcMar>
              <w:top w:type="dxa" w:w="100"/>
              <w:left w:type="dxa" w:w="120"/>
              <w:bottom w:type="dxa" w:w="100"/>
              <w:right w:type="dxa" w:w="120"/>
            </w:tcMar>
          </w:tcPr>
          <w:p>
            <w:pPr>
              <w:spacing w:after="0"/>
            </w:pPr>
            <w:r>
              <w:rPr>
                <w:b/>
                <w:bCs/>
              </w:rPr>
              <w:t xml:space="preserve">Module</w:t>
            </w:r>
          </w:p>
        </w:tc>
        <w:tc>
          <w:tcPr>
            <w:tcW w:type="pct" w:w="25%"/>
            <w:tcMar>
              <w:top w:type="dxa" w:w="100"/>
              <w:left w:type="dxa" w:w="120"/>
              <w:bottom w:type="dxa" w:w="100"/>
              <w:right w:type="dxa" w:w="120"/>
            </w:tcMar>
          </w:tcPr>
          <w:p>
            <w:pPr>
              <w:spacing w:after="0"/>
            </w:pPr>
            <w:r>
              <w:rPr>
                <w:b w:val="false"/>
                <w:bCs w:val="false"/>
              </w:rPr>
              <w:t xml:space="preserve">4 weken</w:t>
            </w:r>
          </w:p>
        </w:tc>
        <w:tc>
          <w:tcPr>
            <w:tcW w:type="pct" w:w="25%"/>
            <w:tcMar>
              <w:top w:type="dxa" w:w="100"/>
              <w:left w:type="dxa" w:w="120"/>
              <w:bottom w:type="dxa" w:w="100"/>
              <w:right w:type="dxa" w:w="120"/>
            </w:tcMar>
          </w:tcPr>
          <w:p>
            <w:pPr>
              <w:spacing w:after="0"/>
            </w:pPr>
            <w:r>
              <w:rPr>
                <w:b w:val="false"/>
                <w:bCs w:val="false"/>
              </w:rPr>
              <w:t xml:space="preserve">Combinatie van theorie en praktijk, gericht op een specifiek onderwerp. Afsluiting middels een SD-certificaat.</w:t>
            </w:r>
          </w:p>
        </w:tc>
      </w:tr>
      <w:tr>
        <w:tc>
          <w:tcPr>
            <w:tcW w:type="pct" w:w="25%"/>
            <w:shd w:fill="EAF1F8" w:color="auto" w:val="clear"/>
            <w:tcMar>
              <w:top w:type="dxa" w:w="100"/>
              <w:left w:type="dxa" w:w="120"/>
              <w:bottom w:type="dxa" w:w="100"/>
              <w:right w:type="dxa" w:w="120"/>
            </w:tcMar>
          </w:tcPr>
          <w:p>
            <w:pPr>
              <w:spacing w:after="0"/>
            </w:pPr>
            <w:r>
              <w:rPr>
                <w:b/>
                <w:bCs/>
              </w:rPr>
              <w:t xml:space="preserve">Challenge</w:t>
            </w:r>
          </w:p>
        </w:tc>
        <w:tc>
          <w:tcPr>
            <w:tcW w:type="pct" w:w="25%"/>
            <w:shd w:fill="EAF1F8" w:color="auto" w:val="clear"/>
            <w:tcMar>
              <w:top w:type="dxa" w:w="100"/>
              <w:left w:type="dxa" w:w="120"/>
              <w:bottom w:type="dxa" w:w="100"/>
              <w:right w:type="dxa" w:w="120"/>
            </w:tcMar>
          </w:tcPr>
          <w:p>
            <w:pPr>
              <w:spacing w:after="0"/>
            </w:pPr>
            <w:r>
              <w:rPr>
                <w:b w:val="false"/>
                <w:bCs w:val="false"/>
              </w:rPr>
              <w:t xml:space="preserve">3 weken</w:t>
            </w:r>
          </w:p>
        </w:tc>
        <w:tc>
          <w:tcPr>
            <w:tcW w:type="pct" w:w="25%"/>
            <w:shd w:fill="EAF1F8" w:color="auto" w:val="clear"/>
            <w:tcMar>
              <w:top w:type="dxa" w:w="100"/>
              <w:left w:type="dxa" w:w="120"/>
              <w:bottom w:type="dxa" w:w="100"/>
              <w:right w:type="dxa" w:w="120"/>
            </w:tcMar>
          </w:tcPr>
          <w:p>
            <w:pPr>
              <w:spacing w:after="0"/>
            </w:pPr>
            <w:r>
              <w:rPr>
                <w:b w:val="false"/>
                <w:bCs w:val="false"/>
              </w:rPr>
              <w:t xml:space="preserve">Projectmatig via sprints werken aan een challenge (praktijkopdracht).</w:t>
            </w:r>
          </w:p>
        </w:tc>
      </w:tr>
      <w:tr>
        <w:tc>
          <w:tcPr>
            <w:tcW w:type="pct" w:w="25%"/>
            <w:tcMar>
              <w:top w:type="dxa" w:w="100"/>
              <w:left w:type="dxa" w:w="120"/>
              <w:bottom w:type="dxa" w:w="100"/>
              <w:right w:type="dxa" w:w="120"/>
            </w:tcMar>
          </w:tcPr>
          <w:p>
            <w:pPr>
              <w:spacing w:after="0"/>
            </w:pPr>
            <w:r>
              <w:rPr>
                <w:b/>
                <w:bCs/>
              </w:rPr>
              <w:t xml:space="preserve">Masterclasses</w:t>
            </w:r>
          </w:p>
        </w:tc>
        <w:tc>
          <w:tcPr>
            <w:tcW w:type="pct" w:w="25%"/>
            <w:tcMar>
              <w:top w:type="dxa" w:w="100"/>
              <w:left w:type="dxa" w:w="120"/>
              <w:bottom w:type="dxa" w:w="100"/>
              <w:right w:type="dxa" w:w="120"/>
            </w:tcMar>
          </w:tcPr>
          <w:p>
            <w:pPr>
              <w:spacing w:after="0"/>
            </w:pPr>
            <w:r>
              <w:rPr>
                <w:b w:val="false"/>
                <w:bCs w:val="false"/>
              </w:rPr>
              <w:t xml:space="preserve">3 weken</w:t>
            </w:r>
          </w:p>
        </w:tc>
        <w:tc>
          <w:tcPr>
            <w:tcW w:type="pct" w:w="25%"/>
            <w:tcMar>
              <w:top w:type="dxa" w:w="100"/>
              <w:left w:type="dxa" w:w="120"/>
              <w:bottom w:type="dxa" w:w="100"/>
              <w:right w:type="dxa" w:w="120"/>
            </w:tcMar>
          </w:tcPr>
          <w:p>
            <w:pPr>
              <w:spacing w:after="0"/>
            </w:pPr>
            <w:r>
              <w:rPr>
                <w:b w:val="false"/>
                <w:bCs w:val="false"/>
              </w:rPr>
              <w:t xml:space="preserve">Losstaande lessen van circa 45-60 minuten over een specifiek onderwerp, gegeven naast de challenge.</w:t>
            </w:r>
          </w:p>
        </w:tc>
      </w:tr>
      <w:tr>
        <w:tc>
          <w:tcPr>
            <w:tcW w:type="pct" w:w="25%"/>
            <w:shd w:fill="EAF1F8" w:color="auto" w:val="clear"/>
            <w:tcMar>
              <w:top w:type="dxa" w:w="100"/>
              <w:left w:type="dxa" w:w="120"/>
              <w:bottom w:type="dxa" w:w="100"/>
              <w:right w:type="dxa" w:w="120"/>
            </w:tcMar>
          </w:tcPr>
          <w:p>
            <w:pPr>
              <w:spacing w:after="0"/>
            </w:pPr>
            <w:r>
              <w:rPr>
                <w:b/>
                <w:bCs/>
              </w:rPr>
              <w:t xml:space="preserve">Reflectieweek</w:t>
            </w:r>
          </w:p>
        </w:tc>
        <w:tc>
          <w:tcPr>
            <w:tcW w:type="pct" w:w="25%"/>
            <w:shd w:fill="EAF1F8" w:color="auto" w:val="clear"/>
            <w:tcMar>
              <w:top w:type="dxa" w:w="100"/>
              <w:left w:type="dxa" w:w="120"/>
              <w:bottom w:type="dxa" w:w="100"/>
              <w:right w:type="dxa" w:w="120"/>
            </w:tcMar>
          </w:tcPr>
          <w:p>
            <w:pPr>
              <w:spacing w:after="0"/>
            </w:pPr>
            <w:r>
              <w:rPr>
                <w:b w:val="false"/>
                <w:bCs w:val="false"/>
              </w:rPr>
              <w:t xml:space="preserve">1 week</w:t>
            </w:r>
          </w:p>
        </w:tc>
        <w:tc>
          <w:tcPr>
            <w:tcW w:type="pct" w:w="25%"/>
            <w:shd w:fill="EAF1F8" w:color="auto" w:val="clear"/>
            <w:tcMar>
              <w:top w:type="dxa" w:w="100"/>
              <w:left w:type="dxa" w:w="120"/>
              <w:bottom w:type="dxa" w:w="100"/>
              <w:right w:type="dxa" w:w="120"/>
            </w:tcMar>
          </w:tcPr>
          <w:p>
            <w:pPr>
              <w:spacing w:after="0"/>
            </w:pPr>
            <w:r>
              <w:rPr>
                <w:b w:val="false"/>
                <w:bCs w:val="false"/>
              </w:rPr>
              <w:t xml:space="preserve">Portfolio voorbereiden, presenteren, leeruitkomsten verzamelen, reflecteren op eigen handelen (POP) en nieuwe leerdoelen stellen. Aan het eind van elke unit.</w:t>
            </w:r>
          </w:p>
        </w:tc>
      </w:tr>
    </w:tbl>
    <w:p>
      <w:pPr>
        <w:spacing w:after="200"/>
      </w:pPr>
    </w:p>
    <w:p>
      <w:pPr>
        <w:pStyle w:val="Heading1"/>
        <w:spacing w:after="150" w:before="320"/>
      </w:pPr>
      <w:r>
        <w:t xml:space="preserve">6. Challenges</w:t>
      </w:r>
    </w:p>
    <w:p>
      <w:pPr>
        <w:spacing w:after="120"/>
      </w:pPr>
      <w:r>
        <w:t xml:space="preserve">Challenges zijn projecten van 3 weken (gevolgd door een reflectieweek), waarin individueel of in groepsverband leeruitkomsten worden aangetoond met bewijslast. In level 1 worden de leeruitkomsten aangeleverd; in level 2 kiezen studenten deze zelf.</w:t>
      </w:r>
    </w:p>
    <w:p>
      <w:pPr>
        <w:spacing w:after="120"/>
      </w:pPr>
      <w:r>
        <w:t xml:space="preserve">Voorbeeld van een challenge: het ontwikkelen van een interactief prototype van een fabrieksmonitor-dashboard voor een productiebedrijf, dat gegevens uitleest uit een JSON-feed, gebruiksvriendelijk is voor medewerkers zonder ICT-ervaring, visueel aantrekkelijk is en passende grafieken en kleuren gebruikt om trends en waarschuwingen inzichtelijk te maken.</w:t>
      </w:r>
    </w:p>
    <w:p>
      <w:pPr>
        <w:pStyle w:val="Heading1"/>
        <w:spacing w:after="150" w:before="320"/>
      </w:pPr>
      <w:r>
        <w:t xml:space="preserve">7. Modules (voorbeelden, 4 weken)</w:t>
      </w:r>
    </w:p>
    <w:p>
      <w:pPr>
        <w:pStyle w:val="ListParagraph"/>
        <w:numPr>
          <w:ilvl w:val="0"/>
          <w:numId w:val="2"/>
        </w:numPr>
        <w:spacing w:after="70"/>
      </w:pPr>
      <w:r>
        <w:t xml:space="preserve">Een basis website maken met HTML en CSS</w:t>
      </w:r>
    </w:p>
    <w:p>
      <w:pPr>
        <w:pStyle w:val="ListParagraph"/>
        <w:numPr>
          <w:ilvl w:val="0"/>
          <w:numId w:val="2"/>
        </w:numPr>
        <w:spacing w:after="70"/>
      </w:pPr>
      <w:r>
        <w:t xml:space="preserve">Interactieve elementen maken met JavaScript</w:t>
      </w:r>
    </w:p>
    <w:p>
      <w:pPr>
        <w:pStyle w:val="ListParagraph"/>
        <w:numPr>
          <w:ilvl w:val="0"/>
          <w:numId w:val="2"/>
        </w:numPr>
        <w:spacing w:after="70"/>
      </w:pPr>
      <w:r>
        <w:t xml:space="preserve">Een werkende database ontwerpen</w:t>
      </w:r>
    </w:p>
    <w:p>
      <w:pPr>
        <w:pStyle w:val="ListParagraph"/>
        <w:numPr>
          <w:ilvl w:val="0"/>
          <w:numId w:val="2"/>
        </w:numPr>
        <w:spacing w:after="70"/>
      </w:pPr>
      <w:r>
        <w:t xml:space="preserve">Werken met een API</w:t>
      </w:r>
    </w:p>
    <w:p>
      <w:pPr>
        <w:pStyle w:val="ListParagraph"/>
        <w:numPr>
          <w:ilvl w:val="0"/>
          <w:numId w:val="2"/>
        </w:numPr>
        <w:spacing w:after="70"/>
      </w:pPr>
      <w:r>
        <w:t xml:space="preserve">Mobile app basics</w:t>
      </w:r>
    </w:p>
    <w:p>
      <w:pPr>
        <w:pStyle w:val="ListParagraph"/>
        <w:numPr>
          <w:ilvl w:val="0"/>
          <w:numId w:val="2"/>
        </w:numPr>
        <w:spacing w:after="70"/>
      </w:pPr>
      <w:r>
        <w:t xml:space="preserve">Het live zetten van een webomgeving</w:t>
      </w:r>
    </w:p>
    <w:p>
      <w:pPr>
        <w:pStyle w:val="Heading1"/>
        <w:spacing w:after="150" w:before="320"/>
      </w:pPr>
      <w:r>
        <w:t xml:space="preserve">8. Masterclasses (voorbeelden, ca. 60 min)</w:t>
      </w:r>
    </w:p>
    <w:p>
      <w:pPr>
        <w:pStyle w:val="ListParagraph"/>
        <w:numPr>
          <w:ilvl w:val="0"/>
          <w:numId w:val="2"/>
        </w:numPr>
        <w:spacing w:after="70"/>
      </w:pPr>
      <w:r>
        <w:t xml:space="preserve">CSS Grid: bouw een Pinterest-achtige layout</w:t>
      </w:r>
    </w:p>
    <w:p>
      <w:pPr>
        <w:pStyle w:val="ListParagraph"/>
        <w:numPr>
          <w:ilvl w:val="0"/>
          <w:numId w:val="2"/>
        </w:numPr>
        <w:spacing w:after="70"/>
      </w:pPr>
      <w:r>
        <w:t xml:space="preserve">Cookies en localStorage</w:t>
      </w:r>
    </w:p>
    <w:p>
      <w:pPr>
        <w:pStyle w:val="ListParagraph"/>
        <w:numPr>
          <w:ilvl w:val="0"/>
          <w:numId w:val="2"/>
        </w:numPr>
        <w:spacing w:after="70"/>
      </w:pPr>
      <w:r>
        <w:t xml:space="preserve">Prompt engineering voor developers</w:t>
      </w:r>
    </w:p>
    <w:p>
      <w:pPr>
        <w:pStyle w:val="ListParagraph"/>
        <w:numPr>
          <w:ilvl w:val="0"/>
          <w:numId w:val="2"/>
        </w:numPr>
        <w:spacing w:after="70"/>
      </w:pPr>
      <w:r>
        <w:t xml:space="preserve">Het maken van een flowchart</w:t>
      </w:r>
    </w:p>
    <w:p>
      <w:pPr>
        <w:pStyle w:val="ListParagraph"/>
        <w:numPr>
          <w:ilvl w:val="0"/>
          <w:numId w:val="2"/>
        </w:numPr>
        <w:spacing w:after="70"/>
      </w:pPr>
      <w:r>
        <w:t xml:space="preserve">Presenteren kun je leren (tips &amp; tricks)</w:t>
      </w:r>
    </w:p>
    <w:p>
      <w:pPr>
        <w:pStyle w:val="ListParagraph"/>
        <w:numPr>
          <w:ilvl w:val="0"/>
          <w:numId w:val="2"/>
        </w:numPr>
        <w:spacing w:after="70"/>
      </w:pPr>
      <w:r>
        <w:t xml:space="preserve">Merge conflicten oplossen</w:t>
      </w:r>
    </w:p>
    <w:p>
      <w:pPr>
        <w:pStyle w:val="Heading1"/>
        <w:spacing w:after="150" w:before="320"/>
      </w:pPr>
      <w:r>
        <w:t xml:space="preserve">9. Andere belangrijke vakken</w:t>
      </w:r>
    </w:p>
    <w:p>
      <w:pPr>
        <w:pStyle w:val="ListParagraph"/>
        <w:numPr>
          <w:ilvl w:val="0"/>
          <w:numId w:val="2"/>
        </w:numPr>
        <w:spacing w:after="70"/>
      </w:pPr>
      <w:r>
        <w:t xml:space="preserve">Nederlands</w:t>
      </w:r>
    </w:p>
    <w:p>
      <w:pPr>
        <w:pStyle w:val="ListParagraph"/>
        <w:numPr>
          <w:ilvl w:val="0"/>
          <w:numId w:val="2"/>
        </w:numPr>
        <w:spacing w:after="70"/>
      </w:pPr>
      <w:r>
        <w:t xml:space="preserve">Engels</w:t>
      </w:r>
    </w:p>
    <w:p>
      <w:pPr>
        <w:pStyle w:val="ListParagraph"/>
        <w:numPr>
          <w:ilvl w:val="0"/>
          <w:numId w:val="2"/>
        </w:numPr>
        <w:spacing w:after="70"/>
      </w:pPr>
      <w:r>
        <w:t xml:space="preserve">Rekenen</w:t>
      </w:r>
    </w:p>
    <w:p>
      <w:pPr>
        <w:pStyle w:val="ListParagraph"/>
        <w:numPr>
          <w:ilvl w:val="0"/>
          <w:numId w:val="2"/>
        </w:numPr>
        <w:spacing w:after="70"/>
      </w:pPr>
      <w:r>
        <w:t xml:space="preserve">Keuzedelen</w:t>
      </w:r>
    </w:p>
    <w:p>
      <w:pPr>
        <w:pStyle w:val="ListParagraph"/>
        <w:numPr>
          <w:ilvl w:val="0"/>
          <w:numId w:val="2"/>
        </w:numPr>
        <w:spacing w:after="70"/>
      </w:pPr>
      <w:r>
        <w:t xml:space="preserve">Burgerschap</w:t>
      </w:r>
    </w:p>
    <w:p>
      <w:pPr>
        <w:pStyle w:val="ListParagraph"/>
        <w:numPr>
          <w:ilvl w:val="0"/>
          <w:numId w:val="2"/>
        </w:numPr>
        <w:spacing w:after="70"/>
      </w:pPr>
      <w:r>
        <w:t xml:space="preserve">Loopbaan</w:t>
      </w:r>
    </w:p>
    <w:p>
      <w:pPr>
        <w:pStyle w:val="ListParagraph"/>
        <w:numPr>
          <w:ilvl w:val="0"/>
          <w:numId w:val="2"/>
        </w:numPr>
        <w:spacing w:after="70"/>
      </w:pPr>
      <w:r>
        <w:t xml:space="preserve">Mentorgesprekken en mentorles</w:t>
      </w:r>
    </w:p>
    <w:p>
      <w:pPr>
        <w:pStyle w:val="Heading1"/>
        <w:spacing w:after="150" w:before="320"/>
      </w:pPr>
      <w:r>
        <w:t xml:space="preserve">10. Voorbeeld weekrooster</w:t>
      </w:r>
    </w:p>
    <w:p>
      <w:pPr>
        <w:spacing w:after="120"/>
      </w:pPr>
      <w:r>
        <w:t xml:space="preserve">Een globale weekindeling ziet er als volgt uit: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pct" w:w="25%"/>
            <w:shd w:fill="2E5C8A" w:color="auto" w:val="clear"/>
            <w:tcMar>
              <w:top w:type="dxa" w:w="100"/>
              <w:left w:type="dxa" w:w="120"/>
              <w:bottom w:type="dxa" w:w="100"/>
              <w:right w:type="dxa" w:w="120"/>
            </w:tcMar>
          </w:tcPr>
          <w:p>
            <w:pPr>
              <w:spacing w:after="0"/>
            </w:pPr>
            <w:r>
              <w:rPr>
                <w:b/>
                <w:bCs/>
                <w:color w:val="FFFFFF"/>
              </w:rPr>
              <w:t xml:space="preserve">Dag</w:t>
            </w:r>
          </w:p>
        </w:tc>
        <w:tc>
          <w:tcPr>
            <w:tcW w:type="pct" w:w="25%"/>
            <w:shd w:fill="2E5C8A" w:color="auto" w:val="clear"/>
            <w:tcMar>
              <w:top w:type="dxa" w:w="100"/>
              <w:left w:type="dxa" w:w="120"/>
              <w:bottom w:type="dxa" w:w="100"/>
              <w:right w:type="dxa" w:w="120"/>
            </w:tcMar>
          </w:tcPr>
          <w:p>
            <w:pPr>
              <w:spacing w:after="0"/>
            </w:pPr>
            <w:r>
              <w:rPr>
                <w:b/>
                <w:bCs/>
                <w:color w:val="FFFFFF"/>
              </w:rPr>
              <w:t xml:space="preserve">Kernactiviteiten</w:t>
            </w:r>
          </w:p>
        </w:tc>
      </w:tr>
      <w:tr>
        <w:tc>
          <w:tcPr>
            <w:tcW w:type="pct" w:w="25%"/>
            <w:tcMar>
              <w:top w:type="dxa" w:w="100"/>
              <w:left w:type="dxa" w:w="120"/>
              <w:bottom w:type="dxa" w:w="100"/>
              <w:right w:type="dxa" w:w="120"/>
            </w:tcMar>
          </w:tcPr>
          <w:p>
            <w:pPr>
              <w:spacing w:after="0"/>
            </w:pPr>
            <w:r>
              <w:rPr>
                <w:b/>
                <w:bCs/>
              </w:rPr>
              <w:t xml:space="preserve">Maandag</w:t>
            </w:r>
          </w:p>
        </w:tc>
        <w:tc>
          <w:tcPr>
            <w:tcW w:type="pct" w:w="25%"/>
            <w:tcMar>
              <w:top w:type="dxa" w:w="100"/>
              <w:left w:type="dxa" w:w="120"/>
              <w:bottom w:type="dxa" w:w="100"/>
              <w:right w:type="dxa" w:w="120"/>
            </w:tcMar>
          </w:tcPr>
          <w:p>
            <w:pPr>
              <w:spacing w:after="0"/>
            </w:pPr>
            <w:r>
              <w:rPr>
                <w:b w:val="false"/>
                <w:bCs w:val="false"/>
              </w:rPr>
              <w:t xml:space="preserve">Mentoruur/weekopstart, Programmeren &amp; tools, Nederlands/Engels/Rekenen.</w:t>
            </w:r>
          </w:p>
        </w:tc>
      </w:tr>
      <w:tr>
        <w:tc>
          <w:tcPr>
            <w:tcW w:type="pct" w:w="25%"/>
            <w:shd w:fill="EAF1F8" w:color="auto" w:val="clear"/>
            <w:tcMar>
              <w:top w:type="dxa" w:w="100"/>
              <w:left w:type="dxa" w:w="120"/>
              <w:bottom w:type="dxa" w:w="100"/>
              <w:right w:type="dxa" w:w="120"/>
            </w:tcMar>
          </w:tcPr>
          <w:p>
            <w:pPr>
              <w:spacing w:after="0"/>
            </w:pPr>
            <w:r>
              <w:rPr>
                <w:b/>
                <w:bCs/>
              </w:rPr>
              <w:t xml:space="preserve">Dinsdag</w:t>
            </w:r>
          </w:p>
        </w:tc>
        <w:tc>
          <w:tcPr>
            <w:tcW w:type="pct" w:w="25%"/>
            <w:shd w:fill="EAF1F8" w:color="auto" w:val="clear"/>
            <w:tcMar>
              <w:top w:type="dxa" w:w="100"/>
              <w:left w:type="dxa" w:w="120"/>
              <w:bottom w:type="dxa" w:w="100"/>
              <w:right w:type="dxa" w:w="120"/>
            </w:tcMar>
          </w:tcPr>
          <w:p>
            <w:pPr>
              <w:spacing w:after="0"/>
            </w:pPr>
            <w:r>
              <w:rPr>
                <w:b w:val="false"/>
                <w:bCs w:val="false"/>
              </w:rPr>
              <w:t xml:space="preserve">Programmeren &amp; tools, Veilig en verantwoord ontwikkelen, Burgerschap.</w:t>
            </w:r>
          </w:p>
        </w:tc>
      </w:tr>
      <w:tr>
        <w:tc>
          <w:tcPr>
            <w:tcW w:type="pct" w:w="25%"/>
            <w:tcMar>
              <w:top w:type="dxa" w:w="100"/>
              <w:left w:type="dxa" w:w="120"/>
              <w:bottom w:type="dxa" w:w="100"/>
              <w:right w:type="dxa" w:w="120"/>
            </w:tcMar>
          </w:tcPr>
          <w:p>
            <w:pPr>
              <w:spacing w:after="0"/>
            </w:pPr>
            <w:r>
              <w:rPr>
                <w:b/>
                <w:bCs/>
              </w:rPr>
              <w:t xml:space="preserve">Woensdag</w:t>
            </w:r>
          </w:p>
        </w:tc>
        <w:tc>
          <w:tcPr>
            <w:tcW w:type="pct" w:w="25%"/>
            <w:tcMar>
              <w:top w:type="dxa" w:w="100"/>
              <w:left w:type="dxa" w:w="120"/>
              <w:bottom w:type="dxa" w:w="100"/>
              <w:right w:type="dxa" w:w="120"/>
            </w:tcMar>
          </w:tcPr>
          <w:p>
            <w:pPr>
              <w:spacing w:after="0"/>
            </w:pPr>
            <w:r>
              <w:rPr>
                <w:b w:val="false"/>
                <w:bCs w:val="false"/>
              </w:rPr>
              <w:t xml:space="preserve">Check-in, projectmatig werken aan de challenge, coaching (MTG), Programmeren &amp; tools.</w:t>
            </w:r>
          </w:p>
        </w:tc>
      </w:tr>
      <w:tr>
        <w:tc>
          <w:tcPr>
            <w:tcW w:type="pct" w:w="25%"/>
            <w:shd w:fill="EAF1F8" w:color="auto" w:val="clear"/>
            <w:tcMar>
              <w:top w:type="dxa" w:w="100"/>
              <w:left w:type="dxa" w:w="120"/>
              <w:bottom w:type="dxa" w:w="100"/>
              <w:right w:type="dxa" w:w="120"/>
            </w:tcMar>
          </w:tcPr>
          <w:p>
            <w:pPr>
              <w:spacing w:after="0"/>
            </w:pPr>
            <w:r>
              <w:rPr>
                <w:b/>
                <w:bCs/>
              </w:rPr>
              <w:t xml:space="preserve">Donderdag</w:t>
            </w:r>
          </w:p>
        </w:tc>
        <w:tc>
          <w:tcPr>
            <w:tcW w:type="pct" w:w="25%"/>
            <w:shd w:fill="EAF1F8" w:color="auto" w:val="clear"/>
            <w:tcMar>
              <w:top w:type="dxa" w:w="100"/>
              <w:left w:type="dxa" w:w="120"/>
              <w:bottom w:type="dxa" w:w="100"/>
              <w:right w:type="dxa" w:w="120"/>
            </w:tcMar>
          </w:tcPr>
          <w:p>
            <w:pPr>
              <w:spacing w:after="0"/>
            </w:pPr>
            <w:r>
              <w:rPr>
                <w:b w:val="false"/>
                <w:bCs w:val="false"/>
              </w:rPr>
              <w:t xml:space="preserve">Check-in, projectmatig werken aan de challenge, coaching (MTG), check-out.</w:t>
            </w:r>
          </w:p>
        </w:tc>
      </w:tr>
      <w:tr>
        <w:tc>
          <w:tcPr>
            <w:tcW w:type="pct" w:w="25%"/>
            <w:tcMar>
              <w:top w:type="dxa" w:w="100"/>
              <w:left w:type="dxa" w:w="120"/>
              <w:bottom w:type="dxa" w:w="100"/>
              <w:right w:type="dxa" w:w="120"/>
            </w:tcMar>
          </w:tcPr>
          <w:p>
            <w:pPr>
              <w:spacing w:after="0"/>
            </w:pPr>
            <w:r>
              <w:rPr>
                <w:b/>
                <w:bCs/>
              </w:rPr>
              <w:t xml:space="preserve">Vrijdag</w:t>
            </w:r>
          </w:p>
        </w:tc>
        <w:tc>
          <w:tcPr>
            <w:tcW w:type="pct" w:w="25%"/>
            <w:tcMar>
              <w:top w:type="dxa" w:w="100"/>
              <w:left w:type="dxa" w:w="120"/>
              <w:bottom w:type="dxa" w:w="100"/>
              <w:right w:type="dxa" w:w="120"/>
            </w:tcMar>
          </w:tcPr>
          <w:p>
            <w:pPr>
              <w:spacing w:after="0"/>
            </w:pPr>
            <w:r>
              <w:rPr>
                <w:b w:val="false"/>
                <w:bCs w:val="false"/>
              </w:rPr>
              <w:t xml:space="preserve">Projectmatig werken aan de challenge, mentoruur/afsluiting van de week.</w:t>
            </w:r>
          </w:p>
        </w:tc>
      </w:tr>
    </w:tbl>
    <w:p>
      <w:pPr>
        <w:spacing w:after="200"/>
      </w:pPr>
    </w:p>
    <w:p>
      <w:pPr>
        <w:pStyle w:val="Heading1"/>
        <w:spacing w:after="150" w:before="320"/>
      </w:pPr>
      <w:r>
        <w:t xml:space="preserve">11. Doorlooptijd</w:t>
      </w:r>
    </w:p>
    <w:p>
      <w:pPr>
        <w:spacing w:after="120"/>
      </w:pPr>
      <w:r>
        <w:t xml:space="preserve">De opleiding duurt in beginsel vier jaar, maar kan worden afgerond binnen drie jaar.</w:t>
      </w:r>
    </w:p>
    <w:p>
      <w:pPr>
        <w:pStyle w:val="ListParagraph"/>
        <w:numPr>
          <w:ilvl w:val="0"/>
          <w:numId w:val="2"/>
        </w:numPr>
        <w:spacing w:after="70"/>
      </w:pPr>
      <w:r>
        <w:t xml:space="preserve">Voorwaarde: de student kan in level 1 al vroeg zelfstandig aantonen dat hij/zij leeruitkomsten kan bewijzen en bewijslast kan aanleveren.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150" w:before="320"/>
    </w:pPr>
    <w:rPr>
      <w:rFonts w:ascii="Calibri" w:cs="Calibri" w:eastAsia="Calibri" w:hAnsi="Calibri"/>
      <w:b/>
      <w:bCs/>
      <w:color w:val="2E5C8A"/>
      <w:sz w:val="30"/>
      <w:szCs w:val="30"/>
    </w:rPr>
  </w:style>
  <w:style w:type="paragraph" w:styleId="Heading2">
    <w:name w:val="Heading 2"/>
    <w:basedOn w:val="Normal"/>
    <w:next w:val="Normal"/>
    <w:qFormat/>
    <w:pPr>
      <w:spacing w:after="100" w:before="220"/>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2026-09-08T09:27:08.452Z</dcterms:created>
  <dcterms:modified xsi:type="dcterms:W3CDTF">2026-09-08T09:27:08.462Z</dcterms:modified>
</cp:coreProperties>
</file>

<file path=docProps/custom.xml><?xml version="1.0" encoding="utf-8"?>
<Properties xmlns="http://schemas.openxmlformats.org/officeDocument/2006/custom-properties" xmlns:vt="http://schemas.openxmlformats.org/officeDocument/2006/docPropsVTypes"/>
</file>