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Regras de Comunicação</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rtl w:val="0"/>
        </w:rPr>
      </w:r>
    </w:p>
    <w:p w:rsidR="00000000" w:rsidDel="00000000" w:rsidP="00000000" w:rsidRDefault="00000000" w:rsidRPr="00000000" w14:paraId="00000004">
      <w:pPr>
        <w:tabs>
          <w:tab w:val="left" w:pos="3795"/>
        </w:tabs>
        <w:rPr>
          <w:sz w:val="36"/>
          <w:szCs w:val="36"/>
        </w:rPr>
      </w:pPr>
      <w:bookmarkStart w:colFirst="0" w:colLast="0" w:name="_gjdgxs" w:id="0"/>
      <w:bookmarkEnd w:id="0"/>
      <w:r w:rsidDel="00000000" w:rsidR="00000000" w:rsidRPr="00000000">
        <w:rPr>
          <w:sz w:val="36"/>
          <w:szCs w:val="36"/>
          <w:rtl w:val="0"/>
        </w:rPr>
        <w:t xml:space="preserve">A comunicação do grupo com o cliente na maioria das vezes será com todos os integrantes do grupo, lembrando que a comunicação vai ser facilitada, por um membro do grupo residir junto ao cliente. As reuniões irão ser realizadas no estabelecimento do cliente sendo duas vezes por mês, uma no começo para estabelecer o que será feito, e outra para ver como ficou. Além das reuniões, caso o grupo queira se comunicar com o cliente, o membro do grupo que reside com o cliente vai estar se comunicando com o grupo e com o cliente.</w:t>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