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FF4C6" w14:textId="77777777" w:rsidR="00B86109" w:rsidRPr="00B86109" w:rsidRDefault="00B86109" w:rsidP="00B86109">
      <w:pPr>
        <w:spacing w:after="0" w:line="240" w:lineRule="auto"/>
        <w:jc w:val="both"/>
        <w:rPr>
          <w:rFonts w:ascii="Times New Roman" w:eastAsia="Times New Roman" w:hAnsi="Times New Roman" w:cs="Times New Roman"/>
          <w:b/>
          <w:bCs/>
          <w:kern w:val="0"/>
          <w:sz w:val="24"/>
          <w:szCs w:val="24"/>
          <w:lang w:eastAsia="fr-FR"/>
          <w14:ligatures w14:val="none"/>
        </w:rPr>
      </w:pPr>
      <w:r w:rsidRPr="00B86109">
        <w:rPr>
          <w:rFonts w:ascii="Times New Roman" w:eastAsia="Times New Roman" w:hAnsi="Times New Roman" w:cs="Times New Roman"/>
          <w:b/>
          <w:bCs/>
          <w:kern w:val="0"/>
          <w:sz w:val="24"/>
          <w:szCs w:val="24"/>
          <w:lang w:eastAsia="fr-FR"/>
          <w14:ligatures w14:val="none"/>
        </w:rPr>
        <w:t>RÉSUMÉ</w:t>
      </w:r>
    </w:p>
    <w:p w14:paraId="7DC79391" w14:textId="77777777" w:rsidR="00B86109" w:rsidRPr="00B86109" w:rsidRDefault="00B86109" w:rsidP="00B86109">
      <w:pPr>
        <w:spacing w:after="0" w:line="240" w:lineRule="auto"/>
        <w:jc w:val="both"/>
        <w:rPr>
          <w:rFonts w:ascii="Times New Roman" w:eastAsia="Times New Roman" w:hAnsi="Times New Roman" w:cs="Times New Roman"/>
          <w:b/>
          <w:bCs/>
          <w:kern w:val="0"/>
          <w:sz w:val="24"/>
          <w:szCs w:val="24"/>
          <w:lang w:eastAsia="fr-FR"/>
          <w14:ligatures w14:val="none"/>
        </w:rPr>
      </w:pPr>
    </w:p>
    <w:p w14:paraId="636E2366" w14:textId="77777777" w:rsidR="00B86109" w:rsidRPr="00B86109" w:rsidRDefault="00B86109" w:rsidP="00B86109">
      <w:pPr>
        <w:spacing w:after="0" w:line="240" w:lineRule="auto"/>
        <w:jc w:val="both"/>
        <w:rPr>
          <w:rFonts w:ascii="Times New Roman" w:eastAsia="Times New Roman" w:hAnsi="Times New Roman" w:cs="Times New Roman"/>
          <w:kern w:val="0"/>
          <w:sz w:val="24"/>
          <w:szCs w:val="24"/>
          <w:lang w:eastAsia="fr-FR"/>
          <w14:ligatures w14:val="none"/>
        </w:rPr>
      </w:pPr>
      <w:r w:rsidRPr="00B86109">
        <w:rPr>
          <w:rFonts w:ascii="Times New Roman" w:eastAsia="Times New Roman" w:hAnsi="Times New Roman" w:cs="Times New Roman"/>
          <w:b/>
          <w:bCs/>
          <w:kern w:val="0"/>
          <w:sz w:val="24"/>
          <w:szCs w:val="24"/>
          <w:lang w:eastAsia="fr-FR"/>
          <w14:ligatures w14:val="none"/>
        </w:rPr>
        <w:t>Contexte</w:t>
      </w:r>
      <w:r w:rsidRPr="00B86109">
        <w:rPr>
          <w:rFonts w:ascii="Times New Roman" w:eastAsia="Times New Roman" w:hAnsi="Times New Roman" w:cs="Times New Roman"/>
          <w:kern w:val="0"/>
          <w:sz w:val="24"/>
          <w:szCs w:val="24"/>
          <w:lang w:eastAsia="fr-FR"/>
          <w14:ligatures w14:val="none"/>
        </w:rPr>
        <w:br/>
        <w:t xml:space="preserve">La sous-nutrition reste un défi majeur de santé publique au Cameroun. Les analyses épidémiologiques traditionnelles évaluent souvent les indicateurs de croissance de manière isolée. Cette étude introduit un cadre intégré combinant des statistiques de sondage robustes et l'apprentissage automatique pour modéliser la coexistence des dimensions de la sous-nutrition via </w:t>
      </w:r>
      <w:r w:rsidRPr="00B86109">
        <w:rPr>
          <w:rFonts w:ascii="Times New Roman" w:eastAsia="Times New Roman" w:hAnsi="Times New Roman" w:cs="Times New Roman"/>
          <w:b/>
          <w:bCs/>
          <w:kern w:val="0"/>
          <w:sz w:val="24"/>
          <w:szCs w:val="24"/>
          <w:lang w:eastAsia="fr-FR"/>
          <w14:ligatures w14:val="none"/>
        </w:rPr>
        <w:t>l'Indice Composite de l'Échec Anthropométrique</w:t>
      </w:r>
      <w:r w:rsidRPr="00B86109">
        <w:rPr>
          <w:rFonts w:ascii="Times New Roman" w:eastAsia="Times New Roman" w:hAnsi="Times New Roman" w:cs="Times New Roman"/>
          <w:kern w:val="0"/>
          <w:sz w:val="24"/>
          <w:szCs w:val="24"/>
          <w:lang w:eastAsia="fr-FR"/>
          <w14:ligatures w14:val="none"/>
        </w:rPr>
        <w:t xml:space="preserve"> </w:t>
      </w:r>
      <w:r w:rsidRPr="00B86109">
        <w:rPr>
          <w:rFonts w:ascii="Times New Roman" w:eastAsia="Times New Roman" w:hAnsi="Times New Roman" w:cs="Times New Roman"/>
          <w:b/>
          <w:bCs/>
          <w:kern w:val="0"/>
          <w:sz w:val="24"/>
          <w:szCs w:val="24"/>
          <w:lang w:eastAsia="fr-FR"/>
          <w14:ligatures w14:val="none"/>
        </w:rPr>
        <w:t>(ICEA).</w:t>
      </w:r>
    </w:p>
    <w:p w14:paraId="28E55D0F" w14:textId="77777777" w:rsidR="00B86109" w:rsidRPr="00B86109" w:rsidRDefault="00B86109" w:rsidP="00B86109">
      <w:pPr>
        <w:spacing w:after="0" w:line="240" w:lineRule="auto"/>
        <w:jc w:val="both"/>
        <w:rPr>
          <w:rFonts w:ascii="Times New Roman" w:eastAsia="Times New Roman" w:hAnsi="Times New Roman" w:cs="Times New Roman"/>
          <w:kern w:val="0"/>
          <w:sz w:val="24"/>
          <w:szCs w:val="24"/>
          <w:lang w:eastAsia="fr-FR"/>
          <w14:ligatures w14:val="none"/>
        </w:rPr>
      </w:pPr>
    </w:p>
    <w:p w14:paraId="1350E73C" w14:textId="5B832AE9" w:rsidR="00B86109" w:rsidRPr="00B86109" w:rsidRDefault="00B86109" w:rsidP="00B86109">
      <w:pPr>
        <w:spacing w:after="0" w:line="240" w:lineRule="auto"/>
        <w:jc w:val="both"/>
        <w:rPr>
          <w:rFonts w:ascii="Times New Roman" w:eastAsia="Times New Roman" w:hAnsi="Times New Roman" w:cs="Times New Roman"/>
          <w:b/>
          <w:bCs/>
          <w:kern w:val="0"/>
          <w:sz w:val="24"/>
          <w:szCs w:val="24"/>
          <w:lang w:eastAsia="fr-FR"/>
          <w14:ligatures w14:val="none"/>
        </w:rPr>
      </w:pPr>
      <w:r w:rsidRPr="00B86109">
        <w:rPr>
          <w:rFonts w:ascii="Times New Roman" w:eastAsia="Times New Roman" w:hAnsi="Times New Roman" w:cs="Times New Roman"/>
          <w:b/>
          <w:bCs/>
          <w:kern w:val="0"/>
          <w:sz w:val="24"/>
          <w:szCs w:val="24"/>
          <w:lang w:eastAsia="fr-FR"/>
          <w14:ligatures w14:val="none"/>
        </w:rPr>
        <w:t>Méthodes</w:t>
      </w:r>
      <w:r w:rsidRPr="00B86109">
        <w:rPr>
          <w:rFonts w:ascii="Times New Roman" w:eastAsia="Times New Roman" w:hAnsi="Times New Roman" w:cs="Times New Roman"/>
          <w:kern w:val="0"/>
          <w:sz w:val="24"/>
          <w:szCs w:val="24"/>
          <w:lang w:eastAsia="fr-FR"/>
          <w14:ligatures w14:val="none"/>
        </w:rPr>
        <w:br/>
        <w:t>Les données des enfants de moins de 5 ans de l'</w:t>
      </w:r>
      <w:r w:rsidRPr="00B86109">
        <w:rPr>
          <w:rFonts w:ascii="Times New Roman" w:eastAsia="Times New Roman" w:hAnsi="Times New Roman" w:cs="Times New Roman"/>
          <w:b/>
          <w:bCs/>
          <w:kern w:val="0"/>
          <w:sz w:val="24"/>
          <w:szCs w:val="24"/>
          <w:lang w:eastAsia="fr-FR"/>
          <w14:ligatures w14:val="none"/>
        </w:rPr>
        <w:t>Enquête Démographique et de Santé (EDS)</w:t>
      </w:r>
      <w:r w:rsidRPr="00B86109">
        <w:rPr>
          <w:rFonts w:ascii="Times New Roman" w:eastAsia="Times New Roman" w:hAnsi="Times New Roman" w:cs="Times New Roman"/>
          <w:kern w:val="0"/>
          <w:sz w:val="24"/>
          <w:szCs w:val="24"/>
          <w:lang w:eastAsia="fr-FR"/>
          <w14:ligatures w14:val="none"/>
        </w:rPr>
        <w:t xml:space="preserve"> du Cameroun 2018 ont été analysées. Pour traiter la coexistence structurelle, l'</w:t>
      </w:r>
      <w:r w:rsidRPr="00B86109">
        <w:rPr>
          <w:rFonts w:ascii="Times New Roman" w:eastAsia="Times New Roman" w:hAnsi="Times New Roman" w:cs="Times New Roman"/>
          <w:b/>
          <w:bCs/>
          <w:kern w:val="0"/>
          <w:sz w:val="24"/>
          <w:szCs w:val="24"/>
          <w:lang w:eastAsia="fr-FR"/>
          <w14:ligatures w14:val="none"/>
        </w:rPr>
        <w:t xml:space="preserve">Analyse des Correspondances Multiples (ACM) de </w:t>
      </w:r>
      <w:proofErr w:type="spellStart"/>
      <w:r w:rsidRPr="00B86109">
        <w:rPr>
          <w:rFonts w:ascii="Times New Roman" w:eastAsia="Times New Roman" w:hAnsi="Times New Roman" w:cs="Times New Roman"/>
          <w:b/>
          <w:bCs/>
          <w:kern w:val="0"/>
          <w:sz w:val="24"/>
          <w:szCs w:val="24"/>
          <w:lang w:eastAsia="fr-FR"/>
          <w14:ligatures w14:val="none"/>
        </w:rPr>
        <w:t>Benzécri</w:t>
      </w:r>
      <w:proofErr w:type="spellEnd"/>
      <w:r w:rsidRPr="00B86109">
        <w:rPr>
          <w:rFonts w:ascii="Times New Roman" w:eastAsia="Times New Roman" w:hAnsi="Times New Roman" w:cs="Times New Roman"/>
          <w:kern w:val="0"/>
          <w:sz w:val="24"/>
          <w:szCs w:val="24"/>
          <w:lang w:eastAsia="fr-FR"/>
          <w14:ligatures w14:val="none"/>
        </w:rPr>
        <w:t xml:space="preserve"> a permis de calculer les poids optimaux du retard de croissance, de l'émaciation et de l'insuffisance pondérale afin de construire une variable cible </w:t>
      </w:r>
      <w:r w:rsidRPr="00B86109">
        <w:rPr>
          <w:rFonts w:ascii="Times New Roman" w:eastAsia="Times New Roman" w:hAnsi="Times New Roman" w:cs="Times New Roman"/>
          <w:b/>
          <w:bCs/>
          <w:kern w:val="0"/>
          <w:sz w:val="24"/>
          <w:szCs w:val="24"/>
          <w:lang w:eastAsia="fr-FR"/>
          <w14:ligatures w14:val="none"/>
        </w:rPr>
        <w:t>ICEA</w:t>
      </w:r>
      <w:r w:rsidRPr="00B86109">
        <w:rPr>
          <w:rFonts w:ascii="Times New Roman" w:eastAsia="Times New Roman" w:hAnsi="Times New Roman" w:cs="Times New Roman"/>
          <w:kern w:val="0"/>
          <w:sz w:val="24"/>
          <w:szCs w:val="24"/>
          <w:lang w:eastAsia="fr-FR"/>
          <w14:ligatures w14:val="none"/>
        </w:rPr>
        <w:t xml:space="preserve"> unifiée. La modélisation épidémiologique a été réalisée via des modèles linéaires généralisés (GLM) pondérés, utilisant des estimateurs de variance de type </w:t>
      </w:r>
      <w:r w:rsidR="00AC033E" w:rsidRPr="00AC033E">
        <w:rPr>
          <w:rFonts w:ascii="Times New Roman" w:eastAsia="Times New Roman" w:hAnsi="Times New Roman" w:cs="Times New Roman"/>
          <w:b/>
          <w:bCs/>
          <w:kern w:val="0"/>
          <w:sz w:val="24"/>
          <w:szCs w:val="24"/>
          <w:lang w:eastAsia="fr-FR"/>
          <w14:ligatures w14:val="none"/>
        </w:rPr>
        <w:t>S</w:t>
      </w:r>
      <w:r w:rsidRPr="00AC033E">
        <w:rPr>
          <w:rFonts w:ascii="Times New Roman" w:eastAsia="Times New Roman" w:hAnsi="Times New Roman" w:cs="Times New Roman"/>
          <w:b/>
          <w:bCs/>
          <w:kern w:val="0"/>
          <w:sz w:val="24"/>
          <w:szCs w:val="24"/>
          <w:lang w:eastAsia="fr-FR"/>
          <w14:ligatures w14:val="none"/>
        </w:rPr>
        <w:t>andwich</w:t>
      </w:r>
      <w:r w:rsidRPr="00B86109">
        <w:rPr>
          <w:rFonts w:ascii="Times New Roman" w:eastAsia="Times New Roman" w:hAnsi="Times New Roman" w:cs="Times New Roman"/>
          <w:kern w:val="0"/>
          <w:sz w:val="24"/>
          <w:szCs w:val="24"/>
          <w:lang w:eastAsia="fr-FR"/>
          <w14:ligatures w14:val="none"/>
        </w:rPr>
        <w:t xml:space="preserve"> robustes aux grappes pour corriger le plan de sondage complexe (</w:t>
      </w:r>
      <w:proofErr w:type="spellStart"/>
      <w:r w:rsidRPr="00B86109">
        <w:rPr>
          <w:rFonts w:ascii="Times New Roman" w:eastAsia="Times New Roman" w:hAnsi="Times New Roman" w:cs="Times New Roman"/>
          <w:i/>
          <w:iCs/>
          <w:kern w:val="0"/>
          <w:sz w:val="24"/>
          <w:szCs w:val="24"/>
          <w:lang w:eastAsia="fr-FR"/>
          <w14:ligatures w14:val="none"/>
        </w:rPr>
        <w:t>poids_analytique</w:t>
      </w:r>
      <w:proofErr w:type="spellEnd"/>
      <w:r w:rsidRPr="00B86109">
        <w:rPr>
          <w:rFonts w:ascii="Times New Roman" w:eastAsia="Times New Roman" w:hAnsi="Times New Roman" w:cs="Times New Roman"/>
          <w:kern w:val="0"/>
          <w:sz w:val="24"/>
          <w:szCs w:val="24"/>
          <w:lang w:eastAsia="fr-FR"/>
          <w14:ligatures w14:val="none"/>
        </w:rPr>
        <w:t xml:space="preserve">) et la corrélation </w:t>
      </w:r>
      <w:proofErr w:type="spellStart"/>
      <w:r w:rsidRPr="00B86109">
        <w:rPr>
          <w:rFonts w:ascii="Times New Roman" w:eastAsia="Times New Roman" w:hAnsi="Times New Roman" w:cs="Times New Roman"/>
          <w:kern w:val="0"/>
          <w:sz w:val="24"/>
          <w:szCs w:val="24"/>
          <w:lang w:eastAsia="fr-FR"/>
          <w14:ligatures w14:val="none"/>
        </w:rPr>
        <w:t>intra-classe</w:t>
      </w:r>
      <w:proofErr w:type="spellEnd"/>
      <w:r w:rsidRPr="00B86109">
        <w:rPr>
          <w:rFonts w:ascii="Times New Roman" w:eastAsia="Times New Roman" w:hAnsi="Times New Roman" w:cs="Times New Roman"/>
          <w:kern w:val="0"/>
          <w:sz w:val="24"/>
          <w:szCs w:val="24"/>
          <w:lang w:eastAsia="fr-FR"/>
          <w14:ligatures w14:val="none"/>
        </w:rPr>
        <w:t xml:space="preserve"> au niveau des grappes de l'EDS, identifiées sous le code officiel DHS </w:t>
      </w:r>
      <w:r w:rsidRPr="00B86109">
        <w:rPr>
          <w:rFonts w:ascii="Times New Roman" w:eastAsia="Times New Roman" w:hAnsi="Times New Roman" w:cs="Times New Roman"/>
          <w:b/>
          <w:bCs/>
          <w:kern w:val="0"/>
          <w:sz w:val="24"/>
          <w:szCs w:val="24"/>
          <w:lang w:eastAsia="fr-FR"/>
          <w14:ligatures w14:val="none"/>
        </w:rPr>
        <w:t>v001</w:t>
      </w:r>
      <w:r w:rsidRPr="00B86109">
        <w:rPr>
          <w:rFonts w:ascii="Times New Roman" w:eastAsia="Times New Roman" w:hAnsi="Times New Roman" w:cs="Times New Roman"/>
          <w:kern w:val="0"/>
          <w:sz w:val="24"/>
          <w:szCs w:val="24"/>
          <w:lang w:eastAsia="fr-FR"/>
          <w14:ligatures w14:val="none"/>
        </w:rPr>
        <w:t xml:space="preserve"> (</w:t>
      </w:r>
      <w:proofErr w:type="spellStart"/>
      <w:r w:rsidRPr="00B86109">
        <w:rPr>
          <w:rFonts w:ascii="Times New Roman" w:eastAsia="Times New Roman" w:hAnsi="Times New Roman" w:cs="Times New Roman"/>
          <w:i/>
          <w:iCs/>
          <w:kern w:val="0"/>
          <w:sz w:val="24"/>
          <w:szCs w:val="24"/>
          <w:lang w:eastAsia="fr-FR"/>
          <w14:ligatures w14:val="none"/>
        </w:rPr>
        <w:t>numerogruppe</w:t>
      </w:r>
      <w:proofErr w:type="spellEnd"/>
      <w:r w:rsidRPr="00B86109">
        <w:rPr>
          <w:rFonts w:ascii="Times New Roman" w:eastAsia="Times New Roman" w:hAnsi="Times New Roman" w:cs="Times New Roman"/>
          <w:kern w:val="0"/>
          <w:sz w:val="24"/>
          <w:szCs w:val="24"/>
          <w:lang w:eastAsia="fr-FR"/>
          <w14:ligatures w14:val="none"/>
        </w:rPr>
        <w:t>). En parallèle, un pipeline de Machine Learning robuste aux grappes a été déployé avec un test de résistance (</w:t>
      </w:r>
      <w:r w:rsidRPr="00B86109">
        <w:rPr>
          <w:rFonts w:ascii="Times New Roman" w:eastAsia="Times New Roman" w:hAnsi="Times New Roman" w:cs="Times New Roman"/>
          <w:i/>
          <w:iCs/>
          <w:kern w:val="0"/>
          <w:sz w:val="24"/>
          <w:szCs w:val="24"/>
          <w:lang w:eastAsia="fr-FR"/>
          <w14:ligatures w14:val="none"/>
        </w:rPr>
        <w:t>Stress Test</w:t>
      </w:r>
      <w:r w:rsidRPr="00B86109">
        <w:rPr>
          <w:rFonts w:ascii="Times New Roman" w:eastAsia="Times New Roman" w:hAnsi="Times New Roman" w:cs="Times New Roman"/>
          <w:kern w:val="0"/>
          <w:sz w:val="24"/>
          <w:szCs w:val="24"/>
          <w:lang w:eastAsia="fr-FR"/>
          <w14:ligatures w14:val="none"/>
        </w:rPr>
        <w:t xml:space="preserve">) sur 15 % de grappes </w:t>
      </w:r>
      <w:r w:rsidRPr="00B86109">
        <w:rPr>
          <w:rFonts w:ascii="Times New Roman" w:eastAsia="Times New Roman" w:hAnsi="Times New Roman" w:cs="Times New Roman"/>
          <w:b/>
          <w:bCs/>
          <w:kern w:val="0"/>
          <w:sz w:val="24"/>
          <w:szCs w:val="24"/>
          <w:lang w:eastAsia="fr-FR"/>
          <w14:ligatures w14:val="none"/>
        </w:rPr>
        <w:t>v001</w:t>
      </w:r>
      <w:r w:rsidRPr="00B86109">
        <w:rPr>
          <w:rFonts w:ascii="Times New Roman" w:eastAsia="Times New Roman" w:hAnsi="Times New Roman" w:cs="Times New Roman"/>
          <w:kern w:val="0"/>
          <w:sz w:val="24"/>
          <w:szCs w:val="24"/>
          <w:lang w:eastAsia="fr-FR"/>
          <w14:ligatures w14:val="none"/>
        </w:rPr>
        <w:t xml:space="preserve"> totalement isolées. Six algorithmes ont été mis en compétition, et le </w:t>
      </w:r>
      <w:r w:rsidR="00AC033E">
        <w:rPr>
          <w:rFonts w:ascii="Times New Roman" w:eastAsia="Times New Roman" w:hAnsi="Times New Roman" w:cs="Times New Roman"/>
          <w:kern w:val="0"/>
          <w:sz w:val="24"/>
          <w:szCs w:val="24"/>
          <w:lang w:eastAsia="fr-FR"/>
          <w14:ligatures w14:val="none"/>
        </w:rPr>
        <w:t>meilleur,</w:t>
      </w:r>
      <w:r w:rsidRPr="00B86109">
        <w:rPr>
          <w:rFonts w:ascii="Times New Roman" w:eastAsia="Times New Roman" w:hAnsi="Times New Roman" w:cs="Times New Roman"/>
          <w:kern w:val="0"/>
          <w:sz w:val="24"/>
          <w:szCs w:val="24"/>
          <w:lang w:eastAsia="fr-FR"/>
          <w14:ligatures w14:val="none"/>
        </w:rPr>
        <w:t xml:space="preserve"> </w:t>
      </w:r>
      <w:proofErr w:type="spellStart"/>
      <w:r w:rsidRPr="00B86109">
        <w:rPr>
          <w:rFonts w:ascii="Times New Roman" w:eastAsia="Times New Roman" w:hAnsi="Times New Roman" w:cs="Times New Roman"/>
          <w:b/>
          <w:bCs/>
          <w:kern w:val="0"/>
          <w:sz w:val="24"/>
          <w:szCs w:val="24"/>
          <w:lang w:eastAsia="fr-FR"/>
          <w14:ligatures w14:val="none"/>
        </w:rPr>
        <w:t>CatBoost</w:t>
      </w:r>
      <w:proofErr w:type="spellEnd"/>
      <w:r w:rsidRPr="00B86109">
        <w:rPr>
          <w:rFonts w:ascii="Times New Roman" w:eastAsia="Times New Roman" w:hAnsi="Times New Roman" w:cs="Times New Roman"/>
          <w:kern w:val="0"/>
          <w:sz w:val="24"/>
          <w:szCs w:val="24"/>
          <w:lang w:eastAsia="fr-FR"/>
          <w14:ligatures w14:val="none"/>
        </w:rPr>
        <w:t xml:space="preserve"> Classifier a été optimisé par une recherche aléatoire avec validation croisée de type </w:t>
      </w:r>
      <w:proofErr w:type="spellStart"/>
      <w:r w:rsidRPr="00B86109">
        <w:rPr>
          <w:rFonts w:ascii="Times New Roman" w:eastAsia="Times New Roman" w:hAnsi="Times New Roman" w:cs="Times New Roman"/>
          <w:b/>
          <w:bCs/>
          <w:i/>
          <w:iCs/>
          <w:kern w:val="0"/>
          <w:sz w:val="24"/>
          <w:szCs w:val="24"/>
          <w:lang w:eastAsia="fr-FR"/>
          <w14:ligatures w14:val="none"/>
        </w:rPr>
        <w:t>GroupKFold</w:t>
      </w:r>
      <w:proofErr w:type="spellEnd"/>
      <w:r w:rsidRPr="00B86109">
        <w:rPr>
          <w:rFonts w:ascii="Times New Roman" w:eastAsia="Times New Roman" w:hAnsi="Times New Roman" w:cs="Times New Roman"/>
          <w:kern w:val="0"/>
          <w:sz w:val="24"/>
          <w:szCs w:val="24"/>
          <w:lang w:eastAsia="fr-FR"/>
          <w14:ligatures w14:val="none"/>
        </w:rPr>
        <w:t>.</w:t>
      </w:r>
    </w:p>
    <w:p w14:paraId="62E9D146" w14:textId="77777777" w:rsidR="00B86109" w:rsidRPr="00B86109" w:rsidRDefault="00B86109" w:rsidP="00B86109">
      <w:pPr>
        <w:spacing w:after="0" w:line="240" w:lineRule="auto"/>
        <w:jc w:val="both"/>
        <w:rPr>
          <w:rFonts w:ascii="Times New Roman" w:eastAsia="Times New Roman" w:hAnsi="Times New Roman" w:cs="Times New Roman"/>
          <w:kern w:val="0"/>
          <w:sz w:val="24"/>
          <w:szCs w:val="24"/>
          <w:lang w:eastAsia="fr-FR"/>
          <w14:ligatures w14:val="none"/>
        </w:rPr>
      </w:pPr>
    </w:p>
    <w:p w14:paraId="21C3A0D8" w14:textId="77777777" w:rsidR="00B86109" w:rsidRPr="00B86109" w:rsidRDefault="00B86109" w:rsidP="00B86109">
      <w:pPr>
        <w:spacing w:after="0" w:line="240" w:lineRule="auto"/>
        <w:jc w:val="both"/>
        <w:rPr>
          <w:rFonts w:ascii="Times New Roman" w:eastAsia="Times New Roman" w:hAnsi="Times New Roman" w:cs="Times New Roman"/>
          <w:kern w:val="0"/>
          <w:sz w:val="24"/>
          <w:szCs w:val="24"/>
          <w:lang w:eastAsia="fr-FR"/>
          <w14:ligatures w14:val="none"/>
        </w:rPr>
      </w:pPr>
      <w:r w:rsidRPr="00B86109">
        <w:rPr>
          <w:rFonts w:ascii="Times New Roman" w:eastAsia="Times New Roman" w:hAnsi="Times New Roman" w:cs="Times New Roman"/>
          <w:b/>
          <w:bCs/>
          <w:kern w:val="0"/>
          <w:sz w:val="24"/>
          <w:szCs w:val="24"/>
          <w:lang w:eastAsia="fr-FR"/>
          <w14:ligatures w14:val="none"/>
        </w:rPr>
        <w:t>Résultats</w:t>
      </w:r>
      <w:r w:rsidRPr="00B86109">
        <w:rPr>
          <w:rFonts w:ascii="Times New Roman" w:eastAsia="Times New Roman" w:hAnsi="Times New Roman" w:cs="Times New Roman"/>
          <w:kern w:val="0"/>
          <w:sz w:val="24"/>
          <w:szCs w:val="24"/>
          <w:lang w:eastAsia="fr-FR"/>
          <w14:ligatures w14:val="none"/>
        </w:rPr>
        <w:br/>
        <w:t xml:space="preserve">Le modèle GLM pondéré a corrigé les erreurs initiales de spécification fonctionnelle, validant le </w:t>
      </w:r>
      <w:proofErr w:type="spellStart"/>
      <w:r w:rsidRPr="00AC033E">
        <w:rPr>
          <w:rFonts w:ascii="Times New Roman" w:eastAsia="Times New Roman" w:hAnsi="Times New Roman" w:cs="Times New Roman"/>
          <w:b/>
          <w:bCs/>
          <w:kern w:val="0"/>
          <w:sz w:val="24"/>
          <w:szCs w:val="24"/>
          <w:lang w:eastAsia="fr-FR"/>
          <w14:ligatures w14:val="none"/>
        </w:rPr>
        <w:t>Linktest</w:t>
      </w:r>
      <w:proofErr w:type="spellEnd"/>
      <w:r w:rsidRPr="00AC033E">
        <w:rPr>
          <w:rFonts w:ascii="Times New Roman" w:eastAsia="Times New Roman" w:hAnsi="Times New Roman" w:cs="Times New Roman"/>
          <w:b/>
          <w:bCs/>
          <w:kern w:val="0"/>
          <w:sz w:val="24"/>
          <w:szCs w:val="24"/>
          <w:lang w:eastAsia="fr-FR"/>
          <w14:ligatures w14:val="none"/>
        </w:rPr>
        <w:t xml:space="preserve"> de </w:t>
      </w:r>
      <w:proofErr w:type="spellStart"/>
      <w:r w:rsidRPr="00AC033E">
        <w:rPr>
          <w:rFonts w:ascii="Times New Roman" w:eastAsia="Times New Roman" w:hAnsi="Times New Roman" w:cs="Times New Roman"/>
          <w:b/>
          <w:bCs/>
          <w:kern w:val="0"/>
          <w:sz w:val="24"/>
          <w:szCs w:val="24"/>
          <w:lang w:eastAsia="fr-FR"/>
          <w14:ligatures w14:val="none"/>
        </w:rPr>
        <w:t>Pregibon</w:t>
      </w:r>
      <w:proofErr w:type="spellEnd"/>
      <w:r w:rsidRPr="00B86109">
        <w:rPr>
          <w:rFonts w:ascii="Times New Roman" w:eastAsia="Times New Roman" w:hAnsi="Times New Roman" w:cs="Times New Roman"/>
          <w:kern w:val="0"/>
          <w:sz w:val="24"/>
          <w:szCs w:val="24"/>
          <w:lang w:eastAsia="fr-FR"/>
          <w14:ligatures w14:val="none"/>
        </w:rPr>
        <w:t xml:space="preserve"> (p-value de </w:t>
      </w:r>
      <w:r w:rsidRPr="00B86109">
        <w:rPr>
          <w:rFonts w:ascii="Times New Roman" w:eastAsia="Times New Roman" w:hAnsi="Times New Roman" w:cs="Times New Roman"/>
          <w:b/>
          <w:bCs/>
          <w:kern w:val="0"/>
          <w:sz w:val="32"/>
          <w:szCs w:val="32"/>
          <w:lang w:eastAsia="fr-FR"/>
          <w14:ligatures w14:val="none"/>
        </w:rPr>
        <w:t>ẑ²</w:t>
      </w:r>
      <w:r w:rsidRPr="00B86109">
        <w:rPr>
          <w:rFonts w:ascii="Times New Roman" w:eastAsia="Times New Roman" w:hAnsi="Times New Roman" w:cs="Times New Roman"/>
          <w:b/>
          <w:bCs/>
          <w:kern w:val="0"/>
          <w:sz w:val="24"/>
          <w:szCs w:val="24"/>
          <w:lang w:eastAsia="fr-FR"/>
          <w14:ligatures w14:val="none"/>
        </w:rPr>
        <w:t xml:space="preserve"> = 0,3387</w:t>
      </w:r>
      <w:r w:rsidRPr="00B86109">
        <w:rPr>
          <w:rFonts w:ascii="Times New Roman" w:eastAsia="Times New Roman" w:hAnsi="Times New Roman" w:cs="Times New Roman"/>
          <w:kern w:val="0"/>
          <w:sz w:val="24"/>
          <w:szCs w:val="24"/>
          <w:lang w:eastAsia="fr-FR"/>
          <w14:ligatures w14:val="none"/>
        </w:rPr>
        <w:t xml:space="preserve">). Les rapports de chances ajustés </w:t>
      </w:r>
      <w:r w:rsidRPr="00B86109">
        <w:rPr>
          <w:rFonts w:ascii="Times New Roman" w:eastAsia="Times New Roman" w:hAnsi="Times New Roman" w:cs="Times New Roman"/>
          <w:b/>
          <w:bCs/>
          <w:kern w:val="0"/>
          <w:sz w:val="24"/>
          <w:szCs w:val="24"/>
          <w:lang w:eastAsia="fr-FR"/>
          <w14:ligatures w14:val="none"/>
        </w:rPr>
        <w:t>(AOR)</w:t>
      </w:r>
      <w:r w:rsidRPr="00B86109">
        <w:rPr>
          <w:rFonts w:ascii="Times New Roman" w:eastAsia="Times New Roman" w:hAnsi="Times New Roman" w:cs="Times New Roman"/>
          <w:kern w:val="0"/>
          <w:sz w:val="24"/>
          <w:szCs w:val="24"/>
          <w:lang w:eastAsia="fr-FR"/>
          <w14:ligatures w14:val="none"/>
        </w:rPr>
        <w:t xml:space="preserve"> ont identifié le quintile de richesse, l'âge de l'enfant (effet quadratique), l'instruction maternelle et l'index synergique </w:t>
      </w:r>
      <w:r w:rsidRPr="00B86109">
        <w:rPr>
          <w:rFonts w:ascii="Times New Roman" w:eastAsia="Times New Roman" w:hAnsi="Times New Roman" w:cs="Times New Roman"/>
          <w:b/>
          <w:bCs/>
          <w:kern w:val="0"/>
          <w:sz w:val="24"/>
          <w:szCs w:val="24"/>
          <w:lang w:eastAsia="fr-FR"/>
          <w14:ligatures w14:val="none"/>
        </w:rPr>
        <w:t xml:space="preserve">WASH </w:t>
      </w:r>
      <w:r w:rsidRPr="00B86109">
        <w:rPr>
          <w:rFonts w:ascii="Times New Roman" w:eastAsia="Times New Roman" w:hAnsi="Times New Roman" w:cs="Times New Roman"/>
          <w:kern w:val="0"/>
          <w:sz w:val="24"/>
          <w:szCs w:val="24"/>
          <w:lang w:eastAsia="fr-FR"/>
          <w14:ligatures w14:val="none"/>
        </w:rPr>
        <w:t xml:space="preserve">(eau et toilettes améliorées) comme les principaux déterminants structurels. Lors de la phase de Machine Learning, </w:t>
      </w:r>
      <w:proofErr w:type="spellStart"/>
      <w:r w:rsidRPr="00B86109">
        <w:rPr>
          <w:rFonts w:ascii="Times New Roman" w:eastAsia="Times New Roman" w:hAnsi="Times New Roman" w:cs="Times New Roman"/>
          <w:kern w:val="0"/>
          <w:sz w:val="24"/>
          <w:szCs w:val="24"/>
          <w:lang w:eastAsia="fr-FR"/>
          <w14:ligatures w14:val="none"/>
        </w:rPr>
        <w:t>CatBoost</w:t>
      </w:r>
      <w:proofErr w:type="spellEnd"/>
      <w:r w:rsidRPr="00B86109">
        <w:rPr>
          <w:rFonts w:ascii="Times New Roman" w:eastAsia="Times New Roman" w:hAnsi="Times New Roman" w:cs="Times New Roman"/>
          <w:kern w:val="0"/>
          <w:sz w:val="24"/>
          <w:szCs w:val="24"/>
          <w:lang w:eastAsia="fr-FR"/>
          <w14:ligatures w14:val="none"/>
        </w:rPr>
        <w:t xml:space="preserve"> a émergé en tête avec une aire sous la courbe </w:t>
      </w:r>
      <w:r w:rsidRPr="00B86109">
        <w:rPr>
          <w:rFonts w:ascii="Times New Roman" w:eastAsia="Times New Roman" w:hAnsi="Times New Roman" w:cs="Times New Roman"/>
          <w:b/>
          <w:bCs/>
          <w:kern w:val="0"/>
          <w:sz w:val="24"/>
          <w:szCs w:val="24"/>
          <w:lang w:eastAsia="fr-FR"/>
          <w14:ligatures w14:val="none"/>
        </w:rPr>
        <w:t>ROC (ROC AUC)</w:t>
      </w:r>
      <w:r w:rsidRPr="00B86109">
        <w:rPr>
          <w:rFonts w:ascii="Times New Roman" w:eastAsia="Times New Roman" w:hAnsi="Times New Roman" w:cs="Times New Roman"/>
          <w:kern w:val="0"/>
          <w:sz w:val="24"/>
          <w:szCs w:val="24"/>
          <w:lang w:eastAsia="fr-FR"/>
          <w14:ligatures w14:val="none"/>
        </w:rPr>
        <w:t xml:space="preserve"> robuste de 0,7442 sur les données de test. Le </w:t>
      </w:r>
      <w:r w:rsidRPr="00B86109">
        <w:rPr>
          <w:rFonts w:ascii="Times New Roman" w:eastAsia="Times New Roman" w:hAnsi="Times New Roman" w:cs="Times New Roman"/>
          <w:b/>
          <w:bCs/>
          <w:kern w:val="0"/>
          <w:sz w:val="24"/>
          <w:szCs w:val="24"/>
          <w:lang w:eastAsia="fr-FR"/>
          <w14:ligatures w14:val="none"/>
        </w:rPr>
        <w:t>Stress Test</w:t>
      </w:r>
      <w:r w:rsidRPr="00B86109">
        <w:rPr>
          <w:rFonts w:ascii="Times New Roman" w:eastAsia="Times New Roman" w:hAnsi="Times New Roman" w:cs="Times New Roman"/>
          <w:kern w:val="0"/>
          <w:sz w:val="24"/>
          <w:szCs w:val="24"/>
          <w:lang w:eastAsia="fr-FR"/>
          <w14:ligatures w14:val="none"/>
        </w:rPr>
        <w:t xml:space="preserve"> sur les grappes </w:t>
      </w:r>
      <w:r w:rsidRPr="00B86109">
        <w:rPr>
          <w:rFonts w:ascii="Times New Roman" w:eastAsia="Times New Roman" w:hAnsi="Times New Roman" w:cs="Times New Roman"/>
          <w:b/>
          <w:bCs/>
          <w:kern w:val="0"/>
          <w:sz w:val="24"/>
          <w:szCs w:val="24"/>
          <w:lang w:eastAsia="fr-FR"/>
          <w14:ligatures w14:val="none"/>
        </w:rPr>
        <w:t>v001</w:t>
      </w:r>
      <w:r w:rsidRPr="00B86109">
        <w:rPr>
          <w:rFonts w:ascii="Times New Roman" w:eastAsia="Times New Roman" w:hAnsi="Times New Roman" w:cs="Times New Roman"/>
          <w:kern w:val="0"/>
          <w:sz w:val="24"/>
          <w:szCs w:val="24"/>
          <w:lang w:eastAsia="fr-FR"/>
          <w14:ligatures w14:val="none"/>
        </w:rPr>
        <w:t xml:space="preserve"> inconnues a confirmé une stabilité de généralisation exceptionnelle (Train AUC : 0,7346 vs Stress AUC : 0,7278, soit un delta de 0,0068), neutralisant le surapprentissage spatial. L'importance par permutation a corroboré l'impact prédictif global dominant de la richesse et de l'âge. La marginalisation clinique finale a décodé avec succès les probabilités de risque pour chaque sous-phénotype de l'OMS.</w:t>
      </w:r>
    </w:p>
    <w:p w14:paraId="66F1A623" w14:textId="77777777" w:rsidR="00B86109" w:rsidRPr="00B86109" w:rsidRDefault="00B86109" w:rsidP="00B86109">
      <w:pPr>
        <w:spacing w:after="0" w:line="240" w:lineRule="auto"/>
        <w:jc w:val="both"/>
        <w:rPr>
          <w:rFonts w:ascii="Times New Roman" w:eastAsia="Times New Roman" w:hAnsi="Times New Roman" w:cs="Times New Roman"/>
          <w:kern w:val="0"/>
          <w:sz w:val="24"/>
          <w:szCs w:val="24"/>
          <w:lang w:eastAsia="fr-FR"/>
          <w14:ligatures w14:val="none"/>
        </w:rPr>
      </w:pPr>
    </w:p>
    <w:p w14:paraId="68FE5336" w14:textId="77777777" w:rsidR="00B86109" w:rsidRPr="00B86109" w:rsidRDefault="00B86109" w:rsidP="00B86109">
      <w:pPr>
        <w:spacing w:after="0" w:line="240" w:lineRule="auto"/>
        <w:jc w:val="both"/>
        <w:rPr>
          <w:rFonts w:ascii="Times New Roman" w:eastAsia="Times New Roman" w:hAnsi="Times New Roman" w:cs="Times New Roman"/>
          <w:kern w:val="0"/>
          <w:sz w:val="24"/>
          <w:szCs w:val="24"/>
          <w:lang w:eastAsia="fr-FR"/>
          <w14:ligatures w14:val="none"/>
        </w:rPr>
      </w:pPr>
      <w:r w:rsidRPr="00B86109">
        <w:rPr>
          <w:rFonts w:ascii="Times New Roman" w:eastAsia="Times New Roman" w:hAnsi="Times New Roman" w:cs="Times New Roman"/>
          <w:b/>
          <w:bCs/>
          <w:kern w:val="0"/>
          <w:sz w:val="24"/>
          <w:szCs w:val="24"/>
          <w:lang w:eastAsia="fr-FR"/>
          <w14:ligatures w14:val="none"/>
        </w:rPr>
        <w:t>Conclusions</w:t>
      </w:r>
      <w:r w:rsidRPr="00B86109">
        <w:rPr>
          <w:rFonts w:ascii="Times New Roman" w:eastAsia="Times New Roman" w:hAnsi="Times New Roman" w:cs="Times New Roman"/>
          <w:kern w:val="0"/>
          <w:sz w:val="24"/>
          <w:szCs w:val="24"/>
          <w:lang w:eastAsia="fr-FR"/>
          <w14:ligatures w14:val="none"/>
        </w:rPr>
        <w:br/>
        <w:t>La synergie entre l'économétrie pondérée et l'apprentissage automatique régularisé par arbres offre un outil de diagnostic valide et généralisable pour la santé publique. Ces résultats tracent des voies d'action précises pour le déploiement d'interventions nutritionnelles ciblées au Cameroun.</w:t>
      </w:r>
    </w:p>
    <w:p w14:paraId="7FCB2929" w14:textId="2BE5085A" w:rsidR="00B86109" w:rsidRPr="00B86109" w:rsidRDefault="00B86109" w:rsidP="00B86109">
      <w:pPr>
        <w:spacing w:before="480" w:after="480" w:line="240" w:lineRule="auto"/>
        <w:jc w:val="both"/>
        <w:rPr>
          <w:rFonts w:ascii="Times New Roman" w:eastAsia="Times New Roman" w:hAnsi="Times New Roman" w:cs="Times New Roman"/>
          <w:kern w:val="0"/>
          <w:sz w:val="24"/>
          <w:szCs w:val="24"/>
          <w:lang w:eastAsia="fr-FR"/>
          <w14:ligatures w14:val="none"/>
        </w:rPr>
      </w:pPr>
      <w:r w:rsidRPr="00B86109">
        <w:rPr>
          <w:rFonts w:ascii="Times New Roman" w:eastAsia="Times New Roman" w:hAnsi="Times New Roman" w:cs="Times New Roman"/>
          <w:b/>
          <w:bCs/>
          <w:kern w:val="0"/>
          <w:sz w:val="24"/>
          <w:szCs w:val="24"/>
          <w:lang w:eastAsia="fr-FR"/>
          <w14:ligatures w14:val="none"/>
        </w:rPr>
        <w:t>Mots-clés :</w:t>
      </w:r>
      <w:r w:rsidRPr="00B86109">
        <w:rPr>
          <w:rFonts w:ascii="Times New Roman" w:eastAsia="Times New Roman" w:hAnsi="Times New Roman" w:cs="Times New Roman"/>
          <w:kern w:val="0"/>
          <w:sz w:val="24"/>
          <w:szCs w:val="24"/>
          <w:lang w:eastAsia="fr-FR"/>
          <w14:ligatures w14:val="none"/>
        </w:rPr>
        <w:t xml:space="preserve"> Sous-nutrition infantile, Indice Composite de l'Échec Anthropométrique (ICEA), Enquête Démographique et de Santé (EDS), Code DHS v001, Modèle linéaire généralisé pondéré, Analyse des Correspondances Multiples de </w:t>
      </w:r>
      <w:proofErr w:type="spellStart"/>
      <w:r w:rsidRPr="00B86109">
        <w:rPr>
          <w:rFonts w:ascii="Times New Roman" w:eastAsia="Times New Roman" w:hAnsi="Times New Roman" w:cs="Times New Roman"/>
          <w:kern w:val="0"/>
          <w:sz w:val="24"/>
          <w:szCs w:val="24"/>
          <w:lang w:eastAsia="fr-FR"/>
          <w14:ligatures w14:val="none"/>
        </w:rPr>
        <w:t>Benzécri</w:t>
      </w:r>
      <w:proofErr w:type="spellEnd"/>
      <w:r w:rsidRPr="00B86109">
        <w:rPr>
          <w:rFonts w:ascii="Times New Roman" w:eastAsia="Times New Roman" w:hAnsi="Times New Roman" w:cs="Times New Roman"/>
          <w:kern w:val="0"/>
          <w:sz w:val="24"/>
          <w:szCs w:val="24"/>
          <w:lang w:eastAsia="fr-FR"/>
          <w14:ligatures w14:val="none"/>
        </w:rPr>
        <w:t xml:space="preserve">, </w:t>
      </w:r>
      <w:proofErr w:type="spellStart"/>
      <w:r w:rsidRPr="00B86109">
        <w:rPr>
          <w:rFonts w:ascii="Times New Roman" w:eastAsia="Times New Roman" w:hAnsi="Times New Roman" w:cs="Times New Roman"/>
          <w:kern w:val="0"/>
          <w:sz w:val="24"/>
          <w:szCs w:val="24"/>
          <w:lang w:eastAsia="fr-FR"/>
          <w14:ligatures w14:val="none"/>
        </w:rPr>
        <w:t>CatBoost</w:t>
      </w:r>
      <w:proofErr w:type="spellEnd"/>
      <w:r w:rsidRPr="00B86109">
        <w:rPr>
          <w:rFonts w:ascii="Times New Roman" w:eastAsia="Times New Roman" w:hAnsi="Times New Roman" w:cs="Times New Roman"/>
          <w:kern w:val="0"/>
          <w:sz w:val="24"/>
          <w:szCs w:val="24"/>
          <w:lang w:eastAsia="fr-FR"/>
          <w14:ligatures w14:val="none"/>
        </w:rPr>
        <w:t xml:space="preserve"> Classifier, Validation croisée robuste aux grappes, Stress </w:t>
      </w:r>
      <w:proofErr w:type="spellStart"/>
      <w:r w:rsidRPr="00B86109">
        <w:rPr>
          <w:rFonts w:ascii="Times New Roman" w:eastAsia="Times New Roman" w:hAnsi="Times New Roman" w:cs="Times New Roman"/>
          <w:kern w:val="0"/>
          <w:sz w:val="24"/>
          <w:szCs w:val="24"/>
          <w:lang w:eastAsia="fr-FR"/>
          <w14:ligatures w14:val="none"/>
        </w:rPr>
        <w:t>testing</w:t>
      </w:r>
      <w:proofErr w:type="spellEnd"/>
      <w:r w:rsidRPr="00B86109">
        <w:rPr>
          <w:rFonts w:ascii="Times New Roman" w:eastAsia="Times New Roman" w:hAnsi="Times New Roman" w:cs="Times New Roman"/>
          <w:kern w:val="0"/>
          <w:sz w:val="24"/>
          <w:szCs w:val="24"/>
          <w:lang w:eastAsia="fr-FR"/>
          <w14:ligatures w14:val="none"/>
        </w:rPr>
        <w:t>, Cameroun.</w:t>
      </w:r>
    </w:p>
    <w:p w14:paraId="687D495A" w14:textId="77777777" w:rsidR="00A31B01" w:rsidRDefault="00A31B01"/>
    <w:sectPr w:rsidR="00A31B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109"/>
    <w:rsid w:val="002B19A9"/>
    <w:rsid w:val="007D62AE"/>
    <w:rsid w:val="00A31B01"/>
    <w:rsid w:val="00AC033E"/>
    <w:rsid w:val="00B8610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B57EE"/>
  <w15:chartTrackingRefBased/>
  <w15:docId w15:val="{003ADBE2-D646-416F-8BFF-6144AF33F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1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61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61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61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61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6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1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61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61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61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61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6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109"/>
    <w:rPr>
      <w:rFonts w:eastAsiaTheme="majorEastAsia" w:cstheme="majorBidi"/>
      <w:color w:val="272727" w:themeColor="text1" w:themeTint="D8"/>
    </w:rPr>
  </w:style>
  <w:style w:type="paragraph" w:styleId="Title">
    <w:name w:val="Title"/>
    <w:basedOn w:val="Normal"/>
    <w:next w:val="Normal"/>
    <w:link w:val="TitleChar"/>
    <w:uiPriority w:val="10"/>
    <w:qFormat/>
    <w:rsid w:val="00B86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109"/>
    <w:pPr>
      <w:spacing w:before="160"/>
      <w:jc w:val="center"/>
    </w:pPr>
    <w:rPr>
      <w:i/>
      <w:iCs/>
      <w:color w:val="404040" w:themeColor="text1" w:themeTint="BF"/>
    </w:rPr>
  </w:style>
  <w:style w:type="character" w:customStyle="1" w:styleId="QuoteChar">
    <w:name w:val="Quote Char"/>
    <w:basedOn w:val="DefaultParagraphFont"/>
    <w:link w:val="Quote"/>
    <w:uiPriority w:val="29"/>
    <w:rsid w:val="00B86109"/>
    <w:rPr>
      <w:i/>
      <w:iCs/>
      <w:color w:val="404040" w:themeColor="text1" w:themeTint="BF"/>
    </w:rPr>
  </w:style>
  <w:style w:type="paragraph" w:styleId="ListParagraph">
    <w:name w:val="List Paragraph"/>
    <w:basedOn w:val="Normal"/>
    <w:uiPriority w:val="34"/>
    <w:qFormat/>
    <w:rsid w:val="00B86109"/>
    <w:pPr>
      <w:ind w:left="720"/>
      <w:contextualSpacing/>
    </w:pPr>
  </w:style>
  <w:style w:type="character" w:styleId="IntenseEmphasis">
    <w:name w:val="Intense Emphasis"/>
    <w:basedOn w:val="DefaultParagraphFont"/>
    <w:uiPriority w:val="21"/>
    <w:qFormat/>
    <w:rsid w:val="00B86109"/>
    <w:rPr>
      <w:i/>
      <w:iCs/>
      <w:color w:val="2F5496" w:themeColor="accent1" w:themeShade="BF"/>
    </w:rPr>
  </w:style>
  <w:style w:type="paragraph" w:styleId="IntenseQuote">
    <w:name w:val="Intense Quote"/>
    <w:basedOn w:val="Normal"/>
    <w:next w:val="Normal"/>
    <w:link w:val="IntenseQuoteChar"/>
    <w:uiPriority w:val="30"/>
    <w:qFormat/>
    <w:rsid w:val="00B861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109"/>
    <w:rPr>
      <w:i/>
      <w:iCs/>
      <w:color w:val="2F5496" w:themeColor="accent1" w:themeShade="BF"/>
    </w:rPr>
  </w:style>
  <w:style w:type="character" w:styleId="IntenseReference">
    <w:name w:val="Intense Reference"/>
    <w:basedOn w:val="DefaultParagraphFont"/>
    <w:uiPriority w:val="32"/>
    <w:qFormat/>
    <w:rsid w:val="00B861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484</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Yeiayel NGOUMTSOP TEUZEM</dc:creator>
  <cp:keywords/>
  <dc:description/>
  <cp:lastModifiedBy>Yeiayel NGOUMTSOP TEUZEM</cp:lastModifiedBy>
  <cp:revision>1</cp:revision>
  <dcterms:created xsi:type="dcterms:W3CDTF">2026-06-12T22:07:00Z</dcterms:created>
  <dcterms:modified xsi:type="dcterms:W3CDTF">2026-06-12T22:21:00Z</dcterms:modified>
</cp:coreProperties>
</file>