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2E"/>
          <w:sz w:val="40"/>
        </w:rPr>
        <w:t>RBS — Pilot Site Financial Summary</w:t>
      </w:r>
    </w:p>
    <w:p>
      <w:pPr>
        <w:jc w:val="center"/>
      </w:pPr>
      <w:r>
        <w:rPr>
          <w:color w:val="555555"/>
          <w:sz w:val="24"/>
        </w:rPr>
        <w:t>Bear Hills Casino &amp; Travel Resort — QE2 Highway, Maskwacis, AB</w:t>
      </w:r>
    </w:p>
    <w:p>
      <w:pPr>
        <w:jc w:val="center"/>
      </w:pPr>
      <w:r>
        <w:rPr>
          <w:i/>
          <w:color w:val="0B3D2E"/>
          <w:sz w:val="22"/>
        </w:rPr>
        <w:t>First Nation Partnership (Louis Bull Tribe) — 75% ZEVIP Eligible</w:t>
      </w:r>
    </w:p>
    <w:p/>
    <w:p>
      <w:pPr>
        <w:pStyle w:val="Heading2"/>
      </w:pPr>
      <w:r>
        <w:t>How This Site Makes Money</w:t>
      </w:r>
    </w:p>
    <w:p>
      <w:r>
        <w:t>RBS buys electricity at wholesale ($0.10/kWh), sells it to EV drivers at $0.50/kWh, and earns additional revenue from demand charge optimization and grid services. Pricing is set below Tesla Supercharger ($0.65–$0.71) and Petro-Canada (~$0.70–$0.94 effective), while leveraging Bear Hills’ monopoly position as the only DC fast charger for 100 km on the QE2.</w:t>
      </w:r>
    </w:p>
    <w:p/>
    <w:p>
      <w:pPr>
        <w:pStyle w:val="Heading2"/>
      </w:pPr>
      <w:r>
        <w:t>Revenue Per Session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Average charge per session</w:t>
            </w:r>
          </w:p>
        </w:tc>
        <w:tc>
          <w:tcPr>
            <w:tcW w:type="dxa" w:w="4320"/>
          </w:tcPr>
          <w:p>
            <w:r>
              <w:t>40 kWh</w:t>
            </w:r>
          </w:p>
        </w:tc>
      </w:tr>
      <w:tr>
        <w:tc>
          <w:tcPr>
            <w:tcW w:type="dxa" w:w="4320"/>
          </w:tcPr>
          <w:p>
            <w:r>
              <w:t>Driver pays (@ $0.50/kWh)</w:t>
            </w:r>
          </w:p>
        </w:tc>
        <w:tc>
          <w:tcPr>
            <w:tcW w:type="dxa" w:w="4320"/>
          </w:tcPr>
          <w:p>
            <w:r>
              <w:t>$20.00</w:t>
            </w:r>
          </w:p>
        </w:tc>
      </w:tr>
      <w:tr>
        <w:tc>
          <w:tcPr>
            <w:tcW w:type="dxa" w:w="4320"/>
          </w:tcPr>
          <w:p>
            <w:r>
              <w:t>Electricity cost to RBS (@ $0.10/kWh)</w:t>
            </w:r>
          </w:p>
        </w:tc>
        <w:tc>
          <w:tcPr>
            <w:tcW w:type="dxa" w:w="4320"/>
          </w:tcPr>
          <w:p>
            <w:r>
              <w:t>$4.00</w:t>
            </w:r>
          </w:p>
        </w:tc>
      </w:tr>
      <w:tr>
        <w:tc>
          <w:tcPr>
            <w:tcW w:type="dxa" w:w="4320"/>
          </w:tcPr>
          <w:p>
            <w:r>
              <w:t>Gross profit per session</w:t>
            </w:r>
          </w:p>
        </w:tc>
        <w:tc>
          <w:tcPr>
            <w:tcW w:type="dxa" w:w="4320"/>
          </w:tcPr>
          <w:p>
            <w:r>
              <w:t>$16.00</w:t>
            </w:r>
          </w:p>
        </w:tc>
      </w:tr>
      <w:tr>
        <w:tc>
          <w:tcPr>
            <w:tcW w:type="dxa" w:w="4320"/>
          </w:tcPr>
          <w:p>
            <w:r>
              <w:t>Gross margin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Average sessions per day (Year 1)</w:t>
            </w:r>
          </w:p>
        </w:tc>
        <w:tc>
          <w:tcPr>
            <w:tcW w:type="dxa" w:w="4320"/>
          </w:tcPr>
          <w:p>
            <w:r>
              <w:t>8–15</w:t>
            </w:r>
          </w:p>
        </w:tc>
      </w:tr>
      <w:tr>
        <w:tc>
          <w:tcPr>
            <w:tcW w:type="dxa" w:w="4320"/>
          </w:tcPr>
          <w:p>
            <w:r>
              <w:t>Daily gross profit</w:t>
            </w:r>
          </w:p>
        </w:tc>
        <w:tc>
          <w:tcPr>
            <w:tcW w:type="dxa" w:w="4320"/>
          </w:tcPr>
          <w:p>
            <w:r>
              <w:t>$128–$240</w:t>
            </w:r>
          </w:p>
        </w:tc>
      </w:tr>
    </w:tbl>
    <w:p/>
    <w:p>
      <w:pPr>
        <w:pStyle w:val="Heading2"/>
      </w:pPr>
      <w:r>
        <w:t>Annual Revenue — Three 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Revenue Stream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(Moderate)</w:t>
            </w:r>
          </w:p>
        </w:tc>
      </w:tr>
      <w:tr>
        <w:tc>
          <w:tcPr>
            <w:tcW w:type="dxa" w:w="2880"/>
          </w:tcPr>
          <w:p>
            <w:r>
              <w:t>Charging Fees</w:t>
            </w:r>
          </w:p>
        </w:tc>
        <w:tc>
          <w:tcPr>
            <w:tcW w:type="dxa" w:w="2880"/>
          </w:tcPr>
          <w:p>
            <w:r>
              <w:t>12.5 sessions/day × $20 × 365 days</w:t>
            </w:r>
          </w:p>
        </w:tc>
        <w:tc>
          <w:tcPr>
            <w:tcW w:type="dxa" w:w="2880"/>
          </w:tcPr>
          <w:p>
            <w:r>
              <w:t>$91,250</w:t>
            </w:r>
          </w:p>
        </w:tc>
      </w:tr>
      <w:tr>
        <w:tc>
          <w:tcPr>
            <w:tcW w:type="dxa" w:w="2880"/>
          </w:tcPr>
          <w:p>
            <w:r>
              <w:t>Demand Charge Savings</w:t>
            </w:r>
          </w:p>
        </w:tc>
        <w:tc>
          <w:tcPr>
            <w:tcW w:type="dxa" w:w="2880"/>
          </w:tcPr>
          <w:p>
            <w:r>
              <w:t>Battery shaves peak demand; avoids utility surcharges</w:t>
            </w:r>
          </w:p>
        </w:tc>
        <w:tc>
          <w:tcPr>
            <w:tcW w:type="dxa" w:w="2880"/>
          </w:tcPr>
          <w:p>
            <w:r>
              <w:t>$27,000</w:t>
            </w:r>
          </w:p>
        </w:tc>
      </w:tr>
      <w:tr>
        <w:tc>
          <w:tcPr>
            <w:tcW w:type="dxa" w:w="2880"/>
          </w:tcPr>
          <w:p>
            <w:r>
              <w:t>Grid Services</w:t>
            </w:r>
          </w:p>
        </w:tc>
        <w:tc>
          <w:tcPr>
            <w:tcW w:type="dxa" w:w="2880"/>
          </w:tcPr>
          <w:p>
            <w:r>
              <w:t>Utility pays RBS to discharge battery during grid stress</w:t>
            </w:r>
          </w:p>
        </w:tc>
        <w:tc>
          <w:tcPr>
            <w:tcW w:type="dxa" w:w="2880"/>
          </w:tcPr>
          <w:p>
            <w:r>
              <w:t>$12,000</w:t>
            </w:r>
          </w:p>
        </w:tc>
      </w:tr>
      <w:tr>
        <w:tc>
          <w:tcPr>
            <w:tcW w:type="dxa" w:w="2880"/>
          </w:tcPr>
          <w:p>
            <w:r>
              <w:t>Total Revenue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$130,250</w:t>
            </w:r>
          </w:p>
        </w:tc>
      </w:tr>
    </w:tbl>
    <w:p/>
    <w:p>
      <w:pPr>
        <w:pStyle w:val="Heading2"/>
      </w:pPr>
      <w:r>
        <w:t>Annual Expenses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Expense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Annual Cost</w:t>
            </w:r>
          </w:p>
        </w:tc>
      </w:tr>
      <w:tr>
        <w:tc>
          <w:tcPr>
            <w:tcW w:type="dxa" w:w="4320"/>
          </w:tcPr>
          <w:p>
            <w:r>
              <w:t>Electricity (wholesale)</w:t>
            </w:r>
          </w:p>
        </w:tc>
        <w:tc>
          <w:tcPr>
            <w:tcW w:type="dxa" w:w="4320"/>
          </w:tcPr>
          <w:p>
            <w:r>
              <w:t>$14,600</w:t>
            </w:r>
          </w:p>
        </w:tc>
      </w:tr>
      <w:tr>
        <w:tc>
          <w:tcPr>
            <w:tcW w:type="dxa" w:w="4320"/>
          </w:tcPr>
          <w:p>
            <w:r>
              <w:t>Software &amp; payment processing</w:t>
            </w:r>
          </w:p>
        </w:tc>
        <w:tc>
          <w:tcPr>
            <w:tcW w:type="dxa" w:w="4320"/>
          </w:tcPr>
          <w:p>
            <w:r>
              <w:t>$4,500</w:t>
            </w:r>
          </w:p>
        </w:tc>
      </w:tr>
      <w:tr>
        <w:tc>
          <w:tcPr>
            <w:tcW w:type="dxa" w:w="4320"/>
          </w:tcPr>
          <w:p>
            <w:r>
              <w:t>Maintenance</w:t>
            </w:r>
          </w:p>
        </w:tc>
        <w:tc>
          <w:tcPr>
            <w:tcW w:type="dxa" w:w="4320"/>
          </w:tcPr>
          <w:p>
            <w:r>
              <w:t>$5,000</w:t>
            </w:r>
          </w:p>
        </w:tc>
      </w:tr>
      <w:tr>
        <w:tc>
          <w:tcPr>
            <w:tcW w:type="dxa" w:w="4320"/>
          </w:tcPr>
          <w:p>
            <w:r>
              <w:t>Insurance</w:t>
            </w:r>
          </w:p>
        </w:tc>
        <w:tc>
          <w:tcPr>
            <w:tcW w:type="dxa" w:w="4320"/>
          </w:tcPr>
          <w:p>
            <w:r>
              <w:t>$7,200</w:t>
            </w:r>
          </w:p>
        </w:tc>
      </w:tr>
      <w:tr>
        <w:tc>
          <w:tcPr>
            <w:tcW w:type="dxa" w:w="4320"/>
          </w:tcPr>
          <w:p>
            <w:r>
              <w:t>Connectivity</w:t>
            </w:r>
          </w:p>
        </w:tc>
        <w:tc>
          <w:tcPr>
            <w:tcW w:type="dxa" w:w="4320"/>
          </w:tcPr>
          <w:p>
            <w:r>
              <w:t>$1,200</w:t>
            </w:r>
          </w:p>
        </w:tc>
      </w:tr>
      <w:tr>
        <w:tc>
          <w:tcPr>
            <w:tcW w:type="dxa" w:w="4320"/>
          </w:tcPr>
          <w:p>
            <w:r>
              <w:t>Site host revenue share (12%)</w:t>
            </w:r>
          </w:p>
        </w:tc>
        <w:tc>
          <w:tcPr>
            <w:tcW w:type="dxa" w:w="4320"/>
          </w:tcPr>
          <w:p>
            <w:r>
              <w:t>$10,950</w:t>
            </w:r>
          </w:p>
        </w:tc>
      </w:tr>
      <w:tr>
        <w:tc>
          <w:tcPr>
            <w:tcW w:type="dxa" w:w="4320"/>
          </w:tcPr>
          <w:p>
            <w:r>
              <w:t>Total Expenses</w:t>
            </w:r>
          </w:p>
        </w:tc>
        <w:tc>
          <w:tcPr>
            <w:tcW w:type="dxa" w:w="4320"/>
          </w:tcPr>
          <w:p>
            <w:r>
              <w:t>$43,450</w:t>
            </w:r>
          </w:p>
        </w:tc>
      </w:tr>
    </w:tbl>
    <w:p/>
    <w:p>
      <w:pPr>
        <w:pStyle w:val="Heading2"/>
      </w:pPr>
      <w:r>
        <w:t>Profitability &amp; Payback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Conservative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Optimistic</w:t>
            </w:r>
          </w:p>
        </w:tc>
      </w:tr>
      <w:tr>
        <w:tc>
          <w:tcPr>
            <w:tcW w:type="dxa" w:w="2160"/>
          </w:tcPr>
          <w:p>
            <w:r>
              <w:t>Annual Revenue</w:t>
            </w:r>
          </w:p>
        </w:tc>
        <w:tc>
          <w:tcPr>
            <w:tcW w:type="dxa" w:w="2160"/>
          </w:tcPr>
          <w:p>
            <w:r>
              <w:t>$88,400</w:t>
            </w:r>
          </w:p>
        </w:tc>
        <w:tc>
          <w:tcPr>
            <w:tcW w:type="dxa" w:w="2160"/>
          </w:tcPr>
          <w:p>
            <w:r>
              <w:t>$130,250</w:t>
            </w:r>
          </w:p>
        </w:tc>
        <w:tc>
          <w:tcPr>
            <w:tcW w:type="dxa" w:w="2160"/>
          </w:tcPr>
          <w:p>
            <w:r>
              <w:t>$166,500</w:t>
            </w:r>
          </w:p>
        </w:tc>
      </w:tr>
      <w:tr>
        <w:tc>
          <w:tcPr>
            <w:tcW w:type="dxa" w:w="2160"/>
          </w:tcPr>
          <w:p>
            <w:r>
              <w:t>Annual Expenses</w:t>
            </w:r>
          </w:p>
        </w:tc>
        <w:tc>
          <w:tcPr>
            <w:tcW w:type="dxa" w:w="2160"/>
          </w:tcPr>
          <w:p>
            <w:r>
              <w:t>$42,000</w:t>
            </w:r>
          </w:p>
        </w:tc>
        <w:tc>
          <w:tcPr>
            <w:tcW w:type="dxa" w:w="2160"/>
          </w:tcPr>
          <w:p>
            <w:r>
              <w:t>$49,000</w:t>
            </w:r>
          </w:p>
        </w:tc>
        <w:tc>
          <w:tcPr>
            <w:tcW w:type="dxa" w:w="2160"/>
          </w:tcPr>
          <w:p>
            <w:r>
              <w:t>$56,725</w:t>
            </w:r>
          </w:p>
        </w:tc>
      </w:tr>
      <w:tr>
        <w:tc>
          <w:tcPr>
            <w:tcW w:type="dxa" w:w="2160"/>
          </w:tcPr>
          <w:p>
            <w:r>
              <w:t>Annual Net Profit</w:t>
            </w:r>
          </w:p>
        </w:tc>
        <w:tc>
          <w:tcPr>
            <w:tcW w:type="dxa" w:w="2160"/>
          </w:tcPr>
          <w:p>
            <w:r>
              <w:t>$46,400</w:t>
            </w:r>
          </w:p>
        </w:tc>
        <w:tc>
          <w:tcPr>
            <w:tcW w:type="dxa" w:w="2160"/>
          </w:tcPr>
          <w:p>
            <w:r>
              <w:t>$81,250</w:t>
            </w:r>
          </w:p>
        </w:tc>
        <w:tc>
          <w:tcPr>
            <w:tcW w:type="dxa" w:w="2160"/>
          </w:tcPr>
          <w:p>
            <w:r>
              <w:t>$109,775</w:t>
            </w:r>
          </w:p>
        </w:tc>
      </w:tr>
      <w:tr>
        <w:tc>
          <w:tcPr>
            <w:tcW w:type="dxa" w:w="2160"/>
          </w:tcPr>
          <w:p>
            <w:r>
              <w:t>Net RBS Investment (after 75% grant)</w:t>
            </w:r>
          </w:p>
        </w:tc>
        <w:tc>
          <w:tcPr>
            <w:tcW w:type="dxa" w:w="2160"/>
          </w:tcPr>
          <w:p>
            <w:r>
              <w:t>$50,250–$72,500</w:t>
            </w:r>
          </w:p>
        </w:tc>
        <w:tc>
          <w:tcPr>
            <w:tcW w:type="dxa" w:w="2160"/>
          </w:tcPr>
          <w:p>
            <w:r>
              <w:t>$50,250–$72,500</w:t>
            </w:r>
          </w:p>
        </w:tc>
        <w:tc>
          <w:tcPr>
            <w:tcW w:type="dxa" w:w="2160"/>
          </w:tcPr>
          <w:p>
            <w:r>
              <w:t>$50,250–$72,500</w:t>
            </w:r>
          </w:p>
        </w:tc>
      </w:tr>
      <w:tr>
        <w:tc>
          <w:tcPr>
            <w:tcW w:type="dxa" w:w="2160"/>
          </w:tcPr>
          <w:p>
            <w:r>
              <w:t>Payback Period</w:t>
            </w:r>
          </w:p>
        </w:tc>
        <w:tc>
          <w:tcPr>
            <w:tcW w:type="dxa" w:w="2160"/>
          </w:tcPr>
          <w:p>
            <w:r>
              <w:t>13–19 months</w:t>
            </w:r>
          </w:p>
        </w:tc>
        <w:tc>
          <w:tcPr>
            <w:tcW w:type="dxa" w:w="2160"/>
          </w:tcPr>
          <w:p>
            <w:r>
              <w:t>7–11 months</w:t>
            </w:r>
          </w:p>
        </w:tc>
        <w:tc>
          <w:tcPr>
            <w:tcW w:type="dxa" w:w="2160"/>
          </w:tcPr>
          <w:p>
            <w:r>
              <w:t>5–8 months</w:t>
            </w:r>
          </w:p>
        </w:tc>
      </w:tr>
      <w:tr>
        <w:tc>
          <w:tcPr>
            <w:tcW w:type="dxa" w:w="2160"/>
          </w:tcPr>
          <w:p>
            <w:r>
              <w:t>10-Year Cumulative Profit</w:t>
            </w:r>
          </w:p>
        </w:tc>
        <w:tc>
          <w:tcPr>
            <w:tcW w:type="dxa" w:w="2160"/>
          </w:tcPr>
          <w:p>
            <w:r>
              <w:t>$464,000</w:t>
            </w:r>
          </w:p>
        </w:tc>
        <w:tc>
          <w:tcPr>
            <w:tcW w:type="dxa" w:w="2160"/>
          </w:tcPr>
          <w:p>
            <w:r>
              <w:t>$812,500</w:t>
            </w:r>
          </w:p>
        </w:tc>
        <w:tc>
          <w:tcPr>
            <w:tcW w:type="dxa" w:w="2160"/>
          </w:tcPr>
          <w:p>
            <w:r>
              <w:t>$1,097,750</w:t>
            </w:r>
          </w:p>
        </w:tc>
      </w:tr>
    </w:tbl>
    <w:p/>
    <w:p>
      <w:pPr>
        <w:pStyle w:val="Heading2"/>
      </w:pPr>
      <w:r>
        <w:t>Competitive Pricing Position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Network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Price/kWh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RBS Advantage</w:t>
            </w:r>
          </w:p>
        </w:tc>
      </w:tr>
      <w:tr>
        <w:tc>
          <w:tcPr>
            <w:tcW w:type="dxa" w:w="2880"/>
          </w:tcPr>
          <w:p>
            <w:r>
              <w:t>Tesla Supercharger</w:t>
            </w:r>
          </w:p>
        </w:tc>
        <w:tc>
          <w:tcPr>
            <w:tcW w:type="dxa" w:w="2880"/>
          </w:tcPr>
          <w:p>
            <w:r>
              <w:t>$0.65–$0.71</w:t>
            </w:r>
          </w:p>
        </w:tc>
        <w:tc>
          <w:tcPr>
            <w:tcW w:type="dxa" w:w="2880"/>
          </w:tcPr>
          <w:p>
            <w:r>
              <w:t>RBS is 23–30% cheaper</w:t>
            </w:r>
          </w:p>
        </w:tc>
      </w:tr>
      <w:tr>
        <w:tc>
          <w:tcPr>
            <w:tcW w:type="dxa" w:w="2880"/>
          </w:tcPr>
          <w:p>
            <w:r>
              <w:t>Tesla (non-Tesla EVs)</w:t>
            </w:r>
          </w:p>
        </w:tc>
        <w:tc>
          <w:tcPr>
            <w:tcW w:type="dxa" w:w="2880"/>
          </w:tcPr>
          <w:p>
            <w:r>
              <w:t>$0.92</w:t>
            </w:r>
          </w:p>
        </w:tc>
        <w:tc>
          <w:tcPr>
            <w:tcW w:type="dxa" w:w="2880"/>
          </w:tcPr>
          <w:p>
            <w:r>
              <w:t>RBS is 46% cheaper</w:t>
            </w:r>
          </w:p>
        </w:tc>
      </w:tr>
      <w:tr>
        <w:tc>
          <w:tcPr>
            <w:tcW w:type="dxa" w:w="2880"/>
          </w:tcPr>
          <w:p>
            <w:r>
              <w:t>Petro-Canada</w:t>
            </w:r>
          </w:p>
        </w:tc>
        <w:tc>
          <w:tcPr>
            <w:tcW w:type="dxa" w:w="2880"/>
          </w:tcPr>
          <w:p>
            <w:r>
              <w:t>~$0.70–$0.94 eff.</w:t>
            </w:r>
          </w:p>
        </w:tc>
        <w:tc>
          <w:tcPr>
            <w:tcW w:type="dxa" w:w="2880"/>
          </w:tcPr>
          <w:p>
            <w:r>
              <w:t>RBS is 29–47% cheaper</w:t>
            </w:r>
          </w:p>
        </w:tc>
      </w:tr>
      <w:tr>
        <w:tc>
          <w:tcPr>
            <w:tcW w:type="dxa" w:w="2880"/>
          </w:tcPr>
          <w:p>
            <w:r>
              <w:t>Electrify Canada</w:t>
            </w:r>
          </w:p>
        </w:tc>
        <w:tc>
          <w:tcPr>
            <w:tcW w:type="dxa" w:w="2880"/>
          </w:tcPr>
          <w:p>
            <w:r>
              <w:t>$0.40–$0.50</w:t>
            </w:r>
          </w:p>
        </w:tc>
        <w:tc>
          <w:tcPr>
            <w:tcW w:type="dxa" w:w="2880"/>
          </w:tcPr>
          <w:p>
            <w:r>
              <w:t>Competitive; no Electrify stations nearby</w:t>
            </w:r>
          </w:p>
        </w:tc>
      </w:tr>
      <w:tr>
        <w:tc>
          <w:tcPr>
            <w:tcW w:type="dxa" w:w="2880"/>
          </w:tcPr>
          <w:p>
            <w:r>
              <w:t>RBS (Bear Hills)</w:t>
            </w:r>
          </w:p>
        </w:tc>
        <w:tc>
          <w:tcPr>
            <w:tcW w:type="dxa" w:w="2880"/>
          </w:tcPr>
          <w:p>
            <w:r>
              <w:t>$0.50</w:t>
            </w:r>
          </w:p>
        </w:tc>
        <w:tc>
          <w:tcPr>
            <w:tcW w:type="dxa" w:w="2880"/>
          </w:tcPr>
          <w:p>
            <w:r>
              <w:t>100 km monopoly on QE2 corridor</w:t>
            </w:r>
          </w:p>
        </w:tc>
      </w:tr>
    </w:tbl>
    <w:p/>
    <w:p>
      <w:pPr>
        <w:pStyle w:val="Heading2"/>
      </w:pPr>
      <w:r>
        <w:t>Why This 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Data Point</w:t>
            </w:r>
          </w:p>
        </w:tc>
      </w:tr>
      <w:tr>
        <w:tc>
          <w:tcPr>
            <w:tcW w:type="dxa" w:w="4320"/>
          </w:tcPr>
          <w:p>
            <w:r>
              <w:t>Highway traffic</w:t>
            </w:r>
          </w:p>
        </w:tc>
        <w:tc>
          <w:tcPr>
            <w:tcW w:type="dxa" w:w="4320"/>
          </w:tcPr>
          <w:p>
            <w:r>
              <w:t>35,000–50,000 vehicles/day on QE2</w:t>
            </w:r>
          </w:p>
        </w:tc>
      </w:tr>
      <w:tr>
        <w:tc>
          <w:tcPr>
            <w:tcW w:type="dxa" w:w="4320"/>
          </w:tcPr>
          <w:p>
            <w:r>
              <w:t>DC fast-charger gap</w:t>
            </w:r>
          </w:p>
        </w:tc>
        <w:tc>
          <w:tcPr>
            <w:tcW w:type="dxa" w:w="4320"/>
          </w:tcPr>
          <w:p>
            <w:r>
              <w:t>~100 km (largest on QE2 corridor)</w:t>
            </w:r>
          </w:p>
        </w:tc>
      </w:tr>
      <w:tr>
        <w:tc>
          <w:tcPr>
            <w:tcW w:type="dxa" w:w="4320"/>
          </w:tcPr>
          <w:p>
            <w:r>
              <w:t>Site ownership</w:t>
            </w:r>
          </w:p>
        </w:tc>
        <w:tc>
          <w:tcPr>
            <w:tcW w:type="dxa" w:w="4320"/>
          </w:tcPr>
          <w:p>
            <w:r>
              <w:t>Louis Bull Tribe (Cree) — 75% ZEVIP eligible</w:t>
            </w:r>
          </w:p>
        </w:tc>
      </w:tr>
      <w:tr>
        <w:tc>
          <w:tcPr>
            <w:tcW w:type="dxa" w:w="4320"/>
          </w:tcPr>
          <w:p>
            <w:r>
              <w:t>Existing EV infra</w:t>
            </w:r>
          </w:p>
        </w:tc>
        <w:tc>
          <w:tcPr>
            <w:tcW w:type="dxa" w:w="4320"/>
          </w:tcPr>
          <w:p>
            <w:r>
              <w:t>2× Level 2 ChargePoint already installed (2024)</w:t>
            </w:r>
          </w:p>
        </w:tc>
      </w:tr>
      <w:tr>
        <w:tc>
          <w:tcPr>
            <w:tcW w:type="dxa" w:w="4320"/>
          </w:tcPr>
          <w:p>
            <w:r>
              <w:t>Dwell time</w:t>
            </w:r>
          </w:p>
        </w:tc>
        <w:tc>
          <w:tcPr>
            <w:tcW w:type="dxa" w:w="4320"/>
          </w:tcPr>
          <w:p>
            <w:r>
              <w:t>Casino guests: 2–6 hours; restaurant/hotel on-site</w:t>
            </w:r>
          </w:p>
        </w:tc>
      </w:tr>
      <w:tr>
        <w:tc>
          <w:tcPr>
            <w:tcW w:type="dxa" w:w="4320"/>
          </w:tcPr>
          <w:p>
            <w:r>
              <w:t>Winter range factor</w:t>
            </w:r>
          </w:p>
        </w:tc>
        <w:tc>
          <w:tcPr>
            <w:tcW w:type="dxa" w:w="4320"/>
          </w:tcPr>
          <w:p>
            <w:r>
              <w:t>EVs lose 30–50% range at -25°C; most can’t do Edmonton→Calgary nonstop</w:t>
            </w:r>
          </w:p>
        </w:tc>
      </w:tr>
      <w:tr>
        <w:tc>
          <w:tcPr>
            <w:tcW w:type="dxa" w:w="4320"/>
          </w:tcPr>
          <w:p>
            <w:r>
              <w:t>24/7 public access</w:t>
            </w:r>
          </w:p>
        </w:tc>
        <w:tc>
          <w:tcPr>
            <w:tcW w:type="dxa" w:w="4320"/>
          </w:tcPr>
          <w:p>
            <w:r>
              <w:t>Yes — casino parking is unrestricted</w:t>
            </w:r>
          </w:p>
        </w:tc>
      </w:tr>
    </w:tbl>
    <w:p/>
    <w:p>
      <w:r>
        <w:rPr>
          <w:i/>
          <w:sz w:val="18"/>
        </w:rPr>
        <w:t>Conservative: 8 sessions/day. Moderate: 12.5 sessions/day. Optimistic: 15 sessions/day. Alberta’s EV fleet grows 15–20%/year, driving utilization from conservative toward optimistic over 3–5 years. Equipment lifespan: 10–15 years. All figures in CAD.</w:t>
      </w:r>
    </w:p>
    <w:p/>
    <w:p>
      <w:pPr>
        <w:jc w:val="center"/>
      </w:pPr>
      <w:r>
        <w:rPr>
          <w:b/>
        </w:rPr>
        <w:t>Renewable Battery Solutions Ltd.</w:t>
      </w:r>
    </w:p>
    <w:p>
      <w:pPr>
        <w:jc w:val="center"/>
      </w:pPr>
      <w:r>
        <w:t>(Your Full Name), CEO &amp; Founder | (Email) | (Phone)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