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Dream Kinetic: Forge</w:t>
      </w:r>
    </w:p>
    <w:p>
      <w:r>
        <w:rPr>
          <w:b/>
          <w:sz w:val="22"/>
        </w:rPr>
        <w:t>Product Requirements Document v1.0</w:t>
      </w:r>
    </w:p>
    <w:p>
      <w:r>
        <w:rPr>
          <w:sz w:val="16"/>
        </w:rPr>
        <w:t>Dream Kinetic • September 2026</w:t>
      </w:r>
    </w:p>
    <w:p/>
    <w:p>
      <w:pPr>
        <w:pStyle w:val="Heading1"/>
      </w:pPr>
      <w:r>
        <w:t>1. Product Definition</w:t>
      </w:r>
    </w:p>
    <w:p>
      <w:r>
        <w:t>Dream Kinetic: Forge is an agency-grade, visual, conversational, AI-assisted application development platform for researching, designing, building, previewing, validating, certifying, deploying, and maintaining multi-tenant SaaS applications. Dream Kinetic owns Forge. Roll Call is the first reference client and must be represented as a tenant/client rather than the platform owner.</w:t>
      </w:r>
    </w:p>
    <w:p>
      <w:pPr>
        <w:pStyle w:val="Heading1"/>
      </w:pPr>
      <w:r>
        <w:t>2. Product Goals</w:t>
      </w:r>
    </w:p>
    <w:p>
      <w:pPr>
        <w:pStyle w:val="ListBullet"/>
      </w:pPr>
      <w:r>
        <w:t>Allow a designer/product owner to create robust SaaS applications without needing to work directly in code.</w:t>
      </w:r>
    </w:p>
    <w:p>
      <w:pPr>
        <w:pStyle w:val="ListBullet"/>
      </w:pPr>
      <w:r>
        <w:t>Allow independent contractors to extend the same applications through governed source code and approved AI coding tools.</w:t>
      </w:r>
    </w:p>
    <w:p>
      <w:pPr>
        <w:pStyle w:val="ListBullet"/>
      </w:pPr>
      <w:r>
        <w:t>Keep Builder Mode and Developer Mode synchronized around one underlying application model.</w:t>
      </w:r>
    </w:p>
    <w:p>
      <w:pPr>
        <w:pStyle w:val="ListBullet"/>
      </w:pPr>
      <w:r>
        <w:t>Use prompt-driven ideation, research, design, implementation, testing, and release workflows without conflating discussion with execution.</w:t>
      </w:r>
    </w:p>
    <w:p>
      <w:pPr>
        <w:pStyle w:val="ListBullet"/>
      </w:pPr>
      <w:r>
        <w:t>Provide real, interactive development previews before any candidate is certified or published.</w:t>
      </w:r>
    </w:p>
    <w:p>
      <w:pPr>
        <w:pStyle w:val="ListBullet"/>
      </w:pPr>
      <w:r>
        <w:t>Enforce multi-client isolation, architecture rules, contracts, design dossiers, security tests, provenance, and release packaging.</w:t>
      </w:r>
    </w:p>
    <w:p>
      <w:pPr>
        <w:pStyle w:val="ListBullet"/>
      </w:pPr>
      <w:r>
        <w:t>Create reusable agency templates, components, workflows, and Avery capabilities without cloning unmanaged code.</w:t>
      </w:r>
    </w:p>
    <w:p>
      <w:pPr>
        <w:pStyle w:val="Heading1"/>
      </w:pPr>
      <w:r>
        <w:t>3. Users and Roles</w:t>
      </w:r>
    </w:p>
    <w:tbl>
      <w:tblPr>
        <w:tblStyle w:val="TableGrid"/>
        <w:tblW w:type="auto" w:w="0"/>
        <w:jc w:val="center"/>
        <w:tblLook w:firstColumn="1" w:firstRow="1" w:lastColumn="0" w:lastRow="0" w:noHBand="0" w:noVBand="1" w:val="04A0"/>
      </w:tblPr>
      <w:tblGrid>
        <w:gridCol w:w="4997"/>
        <w:gridCol w:w="4997"/>
      </w:tblGrid>
      <w:tr>
        <w:tc>
          <w:tcPr>
            <w:tcW w:type="dxa" w:w="4997"/>
            <w:shd w:fill="E9EEF6"/>
            <w:vAlign w:val="center"/>
          </w:tcPr>
          <w:p>
            <w:r>
              <w:rPr>
                <w:b/>
                <w:sz w:val="17"/>
              </w:rPr>
              <w:t>Role</w:t>
            </w:r>
          </w:p>
        </w:tc>
        <w:tc>
          <w:tcPr>
            <w:tcW w:type="dxa" w:w="4997"/>
            <w:shd w:fill="E9EEF6"/>
            <w:vAlign w:val="center"/>
          </w:tcPr>
          <w:p>
            <w:r>
              <w:rPr>
                <w:b/>
                <w:sz w:val="17"/>
              </w:rPr>
              <w:t>Primary needs</w:t>
            </w:r>
          </w:p>
        </w:tc>
      </w:tr>
      <w:tr>
        <w:tc>
          <w:tcPr>
            <w:tcW w:type="dxa" w:w="4997"/>
            <w:vAlign w:val="top"/>
          </w:tcPr>
          <w:p>
            <w:r>
              <w:rPr>
                <w:sz w:val="16"/>
              </w:rPr>
              <w:t>Agency Owner</w:t>
            </w:r>
          </w:p>
        </w:tc>
        <w:tc>
          <w:tcPr>
            <w:tcW w:type="dxa" w:w="4997"/>
            <w:vAlign w:val="top"/>
          </w:tcPr>
          <w:p>
            <w:r>
              <w:rPr>
                <w:sz w:val="16"/>
              </w:rPr>
              <w:t>Portfolio visibility, client creation, release approval, standards, billing/usage later.</w:t>
            </w:r>
          </w:p>
        </w:tc>
      </w:tr>
      <w:tr>
        <w:tc>
          <w:tcPr>
            <w:tcW w:type="dxa" w:w="4997"/>
            <w:vAlign w:val="top"/>
          </w:tcPr>
          <w:p>
            <w:r>
              <w:rPr>
                <w:sz w:val="16"/>
              </w:rPr>
              <w:t>Designer / Product Owner</w:t>
            </w:r>
          </w:p>
        </w:tc>
        <w:tc>
          <w:tcPr>
            <w:tcW w:type="dxa" w:w="4997"/>
            <w:vAlign w:val="top"/>
          </w:tcPr>
          <w:p>
            <w:r>
              <w:rPr>
                <w:sz w:val="16"/>
              </w:rPr>
              <w:t>Prompt, research, visual build, screen/data/workflow configuration, preview, feedback, approvals.</w:t>
            </w:r>
          </w:p>
        </w:tc>
      </w:tr>
      <w:tr>
        <w:tc>
          <w:tcPr>
            <w:tcW w:type="dxa" w:w="4997"/>
            <w:vAlign w:val="top"/>
          </w:tcPr>
          <w:p>
            <w:r>
              <w:rPr>
                <w:sz w:val="16"/>
              </w:rPr>
              <w:t>Developer / Contractor</w:t>
            </w:r>
          </w:p>
        </w:tc>
        <w:tc>
          <w:tcPr>
            <w:tcW w:type="dxa" w:w="4997"/>
            <w:vAlign w:val="top"/>
          </w:tcPr>
          <w:p>
            <w:r>
              <w:rPr>
                <w:sz w:val="16"/>
              </w:rPr>
              <w:t>Repository, code, migrations, APIs, tests, logs, CLI, AI context, pull requests, certification.</w:t>
            </w:r>
          </w:p>
        </w:tc>
      </w:tr>
      <w:tr>
        <w:tc>
          <w:tcPr>
            <w:tcW w:type="dxa" w:w="4997"/>
            <w:vAlign w:val="top"/>
          </w:tcPr>
          <w:p>
            <w:r>
              <w:rPr>
                <w:sz w:val="16"/>
              </w:rPr>
              <w:t>Client Stakeholder</w:t>
            </w:r>
          </w:p>
        </w:tc>
        <w:tc>
          <w:tcPr>
            <w:tcW w:type="dxa" w:w="4997"/>
            <w:vAlign w:val="top"/>
          </w:tcPr>
          <w:p>
            <w:r>
              <w:rPr>
                <w:sz w:val="16"/>
              </w:rPr>
              <w:t>Review/share preview, comments/approvals, limited project visibility.</w:t>
            </w:r>
          </w:p>
        </w:tc>
      </w:tr>
      <w:tr>
        <w:tc>
          <w:tcPr>
            <w:tcW w:type="dxa" w:w="4997"/>
            <w:vAlign w:val="top"/>
          </w:tcPr>
          <w:p>
            <w:r>
              <w:rPr>
                <w:sz w:val="16"/>
              </w:rPr>
              <w:t>Platform Operator</w:t>
            </w:r>
          </w:p>
        </w:tc>
        <w:tc>
          <w:tcPr>
            <w:tcW w:type="dxa" w:w="4997"/>
            <w:vAlign w:val="top"/>
          </w:tcPr>
          <w:p>
            <w:r>
              <w:rPr>
                <w:sz w:val="16"/>
              </w:rPr>
              <w:t>Security, environments, releases, audit, incidents, policy.</w:t>
            </w:r>
          </w:p>
        </w:tc>
      </w:tr>
    </w:tbl>
    <w:p>
      <w:pPr>
        <w:pStyle w:val="Heading1"/>
      </w:pPr>
      <w:r>
        <w:t>4. Tenancy Model</w:t>
      </w:r>
    </w:p>
    <w:p>
      <w:r>
        <w:t>Forge must implement explicit isolation at every layer using the canonical hierarchy: Agency → Client → Workspace → Application → Environment. A user sees only clients and applications to which they are assigned. Prompts, source, files, secrets, repositories, Avery context, design assets, builds, preview data, and logs must inherit the same boundary.</w:t>
      </w:r>
    </w:p>
    <w:p>
      <w:pPr>
        <w:pStyle w:val="Heading1"/>
      </w:pPr>
      <w:r>
        <w:t>5. Core Experience: Forge Studio</w:t>
      </w:r>
    </w:p>
    <w:p>
      <w:r>
        <w:t>Forge Studio is the default working surface. The primary desktop composition is a three-pane workspace: conversational development partner on the left, live application or code in the center, and context-sensitive inspector on the right. The user may switch between Builder and Developer perspectives without changing the underlying application state.</w:t>
      </w:r>
    </w:p>
    <w:p>
      <w:pPr>
        <w:pStyle w:val="Heading1"/>
      </w:pPr>
      <w:r>
        <w:t>6. Prompt-to-Build Lifecycle</w:t>
      </w:r>
    </w:p>
    <w:tbl>
      <w:tblPr>
        <w:tblStyle w:val="TableGrid"/>
        <w:tblW w:type="auto" w:w="0"/>
        <w:jc w:val="center"/>
        <w:tblLook w:firstColumn="1" w:firstRow="1" w:lastColumn="0" w:lastRow="0" w:noHBand="0" w:noVBand="1" w:val="04A0"/>
      </w:tblPr>
      <w:tblGrid>
        <w:gridCol w:w="4997"/>
        <w:gridCol w:w="4997"/>
      </w:tblGrid>
      <w:tr>
        <w:tc>
          <w:tcPr>
            <w:tcW w:type="dxa" w:w="4997"/>
            <w:shd w:fill="E9EEF6"/>
            <w:vAlign w:val="center"/>
          </w:tcPr>
          <w:p>
            <w:r>
              <w:rPr>
                <w:b/>
                <w:sz w:val="17"/>
              </w:rPr>
              <w:t>Stage</w:t>
            </w:r>
          </w:p>
        </w:tc>
        <w:tc>
          <w:tcPr>
            <w:tcW w:type="dxa" w:w="4997"/>
            <w:shd w:fill="E9EEF6"/>
            <w:vAlign w:val="center"/>
          </w:tcPr>
          <w:p>
            <w:r>
              <w:rPr>
                <w:b/>
                <w:sz w:val="17"/>
              </w:rPr>
              <w:t>Behavior</w:t>
            </w:r>
          </w:p>
        </w:tc>
      </w:tr>
      <w:tr>
        <w:tc>
          <w:tcPr>
            <w:tcW w:type="dxa" w:w="4997"/>
            <w:vAlign w:val="top"/>
          </w:tcPr>
          <w:p>
            <w:r>
              <w:rPr>
                <w:sz w:val="16"/>
              </w:rPr>
              <w:t>Explore</w:t>
            </w:r>
          </w:p>
        </w:tc>
        <w:tc>
          <w:tcPr>
            <w:tcW w:type="dxa" w:w="4997"/>
            <w:vAlign w:val="top"/>
          </w:tcPr>
          <w:p>
            <w:r>
              <w:rPr>
                <w:sz w:val="16"/>
              </w:rPr>
              <w:t>Discussion and ideation only. No source or app state mutation.</w:t>
            </w:r>
          </w:p>
        </w:tc>
      </w:tr>
      <w:tr>
        <w:tc>
          <w:tcPr>
            <w:tcW w:type="dxa" w:w="4997"/>
            <w:vAlign w:val="top"/>
          </w:tcPr>
          <w:p>
            <w:r>
              <w:rPr>
                <w:sz w:val="16"/>
              </w:rPr>
              <w:t>Research</w:t>
            </w:r>
          </w:p>
        </w:tc>
        <w:tc>
          <w:tcPr>
            <w:tcW w:type="dxa" w:w="4997"/>
            <w:vAlign w:val="top"/>
          </w:tcPr>
          <w:p>
            <w:r>
              <w:rPr>
                <w:sz w:val="16"/>
              </w:rPr>
              <w:t>Gather authorized external/internal context and summarize findings with sources.</w:t>
            </w:r>
          </w:p>
        </w:tc>
      </w:tr>
      <w:tr>
        <w:tc>
          <w:tcPr>
            <w:tcW w:type="dxa" w:w="4997"/>
            <w:vAlign w:val="top"/>
          </w:tcPr>
          <w:p>
            <w:r>
              <w:rPr>
                <w:sz w:val="16"/>
              </w:rPr>
              <w:t>Design</w:t>
            </w:r>
          </w:p>
        </w:tc>
        <w:tc>
          <w:tcPr>
            <w:tcW w:type="dxa" w:w="4997"/>
            <w:vAlign w:val="top"/>
          </w:tcPr>
          <w:p>
            <w:r>
              <w:rPr>
                <w:sz w:val="16"/>
              </w:rPr>
              <w:t>Create proposed UX, data, workflow, architecture, and change plan without modifying the app.</w:t>
            </w:r>
          </w:p>
        </w:tc>
      </w:tr>
      <w:tr>
        <w:tc>
          <w:tcPr>
            <w:tcW w:type="dxa" w:w="4997"/>
            <w:vAlign w:val="top"/>
          </w:tcPr>
          <w:p>
            <w:r>
              <w:rPr>
                <w:sz w:val="16"/>
              </w:rPr>
              <w:t>Build</w:t>
            </w:r>
          </w:p>
        </w:tc>
        <w:tc>
          <w:tcPr>
            <w:tcW w:type="dxa" w:w="4997"/>
            <w:vAlign w:val="top"/>
          </w:tcPr>
          <w:p>
            <w:r>
              <w:rPr>
                <w:sz w:val="16"/>
              </w:rPr>
              <w:t>Apply an approved build brief to a development branch/environment.</w:t>
            </w:r>
          </w:p>
        </w:tc>
      </w:tr>
      <w:tr>
        <w:tc>
          <w:tcPr>
            <w:tcW w:type="dxa" w:w="4997"/>
            <w:vAlign w:val="top"/>
          </w:tcPr>
          <w:p>
            <w:r>
              <w:rPr>
                <w:sz w:val="16"/>
              </w:rPr>
              <w:t>Preview</w:t>
            </w:r>
          </w:p>
        </w:tc>
        <w:tc>
          <w:tcPr>
            <w:tcW w:type="dxa" w:w="4997"/>
            <w:vAlign w:val="top"/>
          </w:tcPr>
          <w:p>
            <w:r>
              <w:rPr>
                <w:sz w:val="16"/>
              </w:rPr>
              <w:t>Run the real development application with responsive/device and role/tenant simulation.</w:t>
            </w:r>
          </w:p>
        </w:tc>
      </w:tr>
      <w:tr>
        <w:tc>
          <w:tcPr>
            <w:tcW w:type="dxa" w:w="4997"/>
            <w:vAlign w:val="top"/>
          </w:tcPr>
          <w:p>
            <w:r>
              <w:rPr>
                <w:sz w:val="16"/>
              </w:rPr>
              <w:t>Validate</w:t>
            </w:r>
          </w:p>
        </w:tc>
        <w:tc>
          <w:tcPr>
            <w:tcW w:type="dxa" w:w="4997"/>
            <w:vAlign w:val="top"/>
          </w:tcPr>
          <w:p>
            <w:r>
              <w:rPr>
                <w:sz w:val="16"/>
              </w:rPr>
              <w:t>Run functional, tenant, security, architecture, visual, Avery, and contract checks.</w:t>
            </w:r>
          </w:p>
        </w:tc>
      </w:tr>
      <w:tr>
        <w:tc>
          <w:tcPr>
            <w:tcW w:type="dxa" w:w="4997"/>
            <w:vAlign w:val="top"/>
          </w:tcPr>
          <w:p>
            <w:r>
              <w:rPr>
                <w:sz w:val="16"/>
              </w:rPr>
              <w:t>Candidate</w:t>
            </w:r>
          </w:p>
        </w:tc>
        <w:tc>
          <w:tcPr>
            <w:tcW w:type="dxa" w:w="4997"/>
            <w:vAlign w:val="top"/>
          </w:tcPr>
          <w:p>
            <w:r>
              <w:rPr>
                <w:sz w:val="16"/>
              </w:rPr>
              <w:t>Freeze a candidate artifact and provenance record.</w:t>
            </w:r>
          </w:p>
        </w:tc>
      </w:tr>
      <w:tr>
        <w:tc>
          <w:tcPr>
            <w:tcW w:type="dxa" w:w="4997"/>
            <w:vAlign w:val="top"/>
          </w:tcPr>
          <w:p>
            <w:r>
              <w:rPr>
                <w:sz w:val="16"/>
              </w:rPr>
              <w:t>Certified</w:t>
            </w:r>
          </w:p>
        </w:tc>
        <w:tc>
          <w:tcPr>
            <w:tcW w:type="dxa" w:w="4997"/>
            <w:vAlign w:val="top"/>
          </w:tcPr>
          <w:p>
            <w:r>
              <w:rPr>
                <w:sz w:val="16"/>
              </w:rPr>
              <w:t>Candidate passes required gates.</w:t>
            </w:r>
          </w:p>
        </w:tc>
      </w:tr>
      <w:tr>
        <w:tc>
          <w:tcPr>
            <w:tcW w:type="dxa" w:w="4997"/>
            <w:vAlign w:val="top"/>
          </w:tcPr>
          <w:p>
            <w:r>
              <w:rPr>
                <w:sz w:val="16"/>
              </w:rPr>
              <w:t>Release</w:t>
            </w:r>
          </w:p>
        </w:tc>
        <w:tc>
          <w:tcPr>
            <w:tcW w:type="dxa" w:w="4997"/>
            <w:vAlign w:val="top"/>
          </w:tcPr>
          <w:p>
            <w:r>
              <w:rPr>
                <w:sz w:val="16"/>
              </w:rPr>
              <w:t>Authorized deployment/publish action.</w:t>
            </w:r>
          </w:p>
        </w:tc>
      </w:tr>
    </w:tbl>
    <w:p>
      <w:pPr>
        <w:pStyle w:val="Heading1"/>
      </w:pPr>
      <w:r>
        <w:t>7. Builder Mode Requirements</w:t>
      </w:r>
    </w:p>
    <w:p>
      <w:pPr>
        <w:pStyle w:val="ListBullet"/>
      </w:pPr>
      <w:r>
        <w:t>Visual Data Builder for objects, fields, validation, indexes, relationships, ownership, and API exposure.</w:t>
      </w:r>
    </w:p>
    <w:p>
      <w:pPr>
        <w:pStyle w:val="ListBullet"/>
      </w:pPr>
      <w:r>
        <w:t>Visual Screen Builder for forms, lists, tables, kanban, calendar, map, dashboards, detail views, navigation, responsive behavior, and reusable components.</w:t>
      </w:r>
    </w:p>
    <w:p>
      <w:pPr>
        <w:pStyle w:val="ListBullet"/>
      </w:pPr>
      <w:r>
        <w:t>Workflow Builder for triggers, conditions, actions, waits, approvals, retries, compensation, notifications, and durable state.</w:t>
      </w:r>
    </w:p>
    <w:p>
      <w:pPr>
        <w:pStyle w:val="ListBullet"/>
      </w:pPr>
      <w:r>
        <w:t>Permissions Builder that produces Roll Call-style server-side policies rather than cosmetic UI hiding.</w:t>
      </w:r>
    </w:p>
    <w:p>
      <w:pPr>
        <w:pStyle w:val="ListBullet"/>
      </w:pPr>
      <w:r>
        <w:t>Avery Builder for tools, risk class, delegation, approvals, verification method, receipts, and evaluation cases.</w:t>
      </w:r>
    </w:p>
    <w:p>
      <w:pPr>
        <w:pStyle w:val="ListBullet"/>
      </w:pPr>
      <w:r>
        <w:t>Brand &amp; Design workspace using reusable design tokens, components, templates, and a versioned Design Dossier.</w:t>
      </w:r>
    </w:p>
    <w:p>
      <w:pPr>
        <w:pStyle w:val="ListBullet"/>
      </w:pPr>
      <w:r>
        <w:t>Live Preview with desktop/tablet/mobile, actor role, tenant, seed data, network conditions, and Avery state.</w:t>
      </w:r>
    </w:p>
    <w:p>
      <w:pPr>
        <w:pStyle w:val="ListBullet"/>
      </w:pPr>
      <w:r>
        <w:t>Visual version timeline with compare, restore, and branch-from-version operations.</w:t>
      </w:r>
    </w:p>
    <w:p>
      <w:pPr>
        <w:pStyle w:val="Heading1"/>
      </w:pPr>
      <w:r>
        <w:t>8. Developer Mode Requirements</w:t>
      </w:r>
    </w:p>
    <w:p>
      <w:pPr>
        <w:pStyle w:val="ListBullet"/>
      </w:pPr>
      <w:r>
        <w:t>Git repository/branch/pull-request integration.</w:t>
      </w:r>
    </w:p>
    <w:p>
      <w:pPr>
        <w:pStyle w:val="ListBullet"/>
      </w:pPr>
      <w:r>
        <w:t>Generated and custom source boundaries with explicit extension contracts.</w:t>
      </w:r>
    </w:p>
    <w:p>
      <w:pPr>
        <w:pStyle w:val="ListBullet"/>
      </w:pPr>
      <w:r>
        <w:t>API, schema, migration, policy, job/queue, event, workflow, and Avery tool views.</w:t>
      </w:r>
    </w:p>
    <w:p>
      <w:pPr>
        <w:pStyle w:val="ListBullet"/>
      </w:pPr>
      <w:r>
        <w:t>Logs, traces, audit records, tests, CI, environment state, and package output.</w:t>
      </w:r>
    </w:p>
    <w:p>
      <w:pPr>
        <w:pStyle w:val="ListBullet"/>
      </w:pPr>
      <w:r>
        <w:t>AGENTS.md / CLAUDE.md / machine-readable project context generated from one authoritative Forge registry.</w:t>
      </w:r>
    </w:p>
    <w:p>
      <w:pPr>
        <w:pStyle w:val="ListBullet"/>
      </w:pPr>
      <w:r>
        <w:t>Architecture linter and dependency/ownership checks.</w:t>
      </w:r>
    </w:p>
    <w:p>
      <w:pPr>
        <w:pStyle w:val="ListBullet"/>
      </w:pPr>
      <w:r>
        <w:t>Open-in-IDE workflow and local Forge CLI/dev-container workflow.</w:t>
      </w:r>
    </w:p>
    <w:p>
      <w:pPr>
        <w:pStyle w:val="Heading1"/>
      </w:pPr>
      <w:r>
        <w:t>9. AI Collaboration</w:t>
      </w:r>
    </w:p>
    <w:p>
      <w:r>
        <w:t>Forge is provider-agnostic. Contractors may use approved paid AI coding accounts such as ChatGPT/Codex or Claude under their own credentials. Forge never stores personal AI passwords. Avery provides authoritative Dream Kinetic/Forge project context and governed product actions. Automated machine agents must use organization-managed credentials and bounded machine identities.</w:t>
      </w:r>
    </w:p>
    <w:p>
      <w:pPr>
        <w:pStyle w:val="Heading1"/>
      </w:pPr>
      <w:r>
        <w:t>10. Live Preview Requirements</w:t>
      </w:r>
    </w:p>
    <w:p>
      <w:pPr>
        <w:pStyle w:val="ListBullet"/>
      </w:pPr>
      <w:r>
        <w:t>Preview renders the real development application, not a static AI illustration.</w:t>
      </w:r>
    </w:p>
    <w:p>
      <w:pPr>
        <w:pStyle w:val="ListBullet"/>
      </w:pPr>
      <w:r>
        <w:t>No preview action publishes production state.</w:t>
      </w:r>
    </w:p>
    <w:p>
      <w:pPr>
        <w:pStyle w:val="ListBullet"/>
      </w:pPr>
      <w:r>
        <w:t>Users can select elements directly on the canvas and prompt against the selection.</w:t>
      </w:r>
    </w:p>
    <w:p>
      <w:pPr>
        <w:pStyle w:val="ListBullet"/>
      </w:pPr>
      <w:r>
        <w:t>Role and tenant simulation must exercise real authorization behavior.</w:t>
      </w:r>
    </w:p>
    <w:p>
      <w:pPr>
        <w:pStyle w:val="ListBullet"/>
      </w:pPr>
      <w:r>
        <w:t>Every mutating AI build operation creates a checkpoint linked to source/build state.</w:t>
      </w:r>
    </w:p>
    <w:p>
      <w:pPr>
        <w:pStyle w:val="ListBullet"/>
      </w:pPr>
      <w:r>
        <w:t>Preview URLs may be shareable to explicitly invited reviewers with expiry and access controls.</w:t>
      </w:r>
    </w:p>
    <w:p>
      <w:pPr>
        <w:pStyle w:val="Heading1"/>
      </w:pPr>
      <w:r>
        <w:t>11. Agency Reuse</w:t>
      </w:r>
    </w:p>
    <w:p>
      <w:r>
        <w:t>Forge must distinguish reusable platform primitives/templates from client-specific applications. Reusable assets may include CRM, membership, events, marketplace, commerce, booking, forms, workflow patterns, dashboards, Avery capabilities, and design-system components. Client applications reference versioned assets; they do not receive unmanaged copies by default.</w:t>
      </w:r>
    </w:p>
    <w:p>
      <w:pPr>
        <w:pStyle w:val="Heading1"/>
      </w:pPr>
      <w:r>
        <w:t>12. Security &amp; Isolation</w:t>
      </w:r>
    </w:p>
    <w:p>
      <w:pPr>
        <w:pStyle w:val="ListBullet"/>
      </w:pPr>
      <w:r>
        <w:t>Deny-by-default authorization and explicit client/workspace/application/environment context.</w:t>
      </w:r>
    </w:p>
    <w:p>
      <w:pPr>
        <w:pStyle w:val="ListBullet"/>
      </w:pPr>
      <w:r>
        <w:t>No cross-client model context, source access, files, secrets, preview data, logs, or search unless explicitly authorized.</w:t>
      </w:r>
    </w:p>
    <w:p>
      <w:pPr>
        <w:pStyle w:val="ListBullet"/>
      </w:pPr>
      <w:r>
        <w:t>Environment secrets never exposed to model-visible prompts or source repositories.</w:t>
      </w:r>
    </w:p>
    <w:p>
      <w:pPr>
        <w:pStyle w:val="ListBullet"/>
      </w:pPr>
      <w:r>
        <w:t>High-risk production, financial, security, legal, and access actions require explicit approval/step-up according to policy.</w:t>
      </w:r>
    </w:p>
    <w:p>
      <w:pPr>
        <w:pStyle w:val="ListBullet"/>
      </w:pPr>
      <w:r>
        <w:t>Append-only audit/receipt chain for material actions and deployments.</w:t>
      </w:r>
    </w:p>
    <w:p>
      <w:pPr>
        <w:pStyle w:val="ListBullet"/>
      </w:pPr>
      <w:r>
        <w:t>Signed/hash-aware release artifacts, SBOM and secret/dependency scanning.</w:t>
      </w:r>
    </w:p>
    <w:p>
      <w:pPr>
        <w:pStyle w:val="Heading1"/>
      </w:pPr>
      <w:r>
        <w:t>13. Runtime Integration</w:t>
      </w:r>
    </w:p>
    <w:p>
      <w:r>
        <w:t>Forge generates and manages applications against the Dream Kinetic Forge Runtime Standard. Architecture contracts remain stable above implementation frameworks. The initial preferred runtime is Laravel-based, PostgreSQL-first, API-first, modular, multi-tenant, and contract-driven. Framework-specific code must not become the cross-application contract.</w:t>
      </w:r>
    </w:p>
    <w:p>
      <w:pPr>
        <w:pStyle w:val="Heading1"/>
      </w:pPr>
      <w:r>
        <w:t>14. MVP / Release Sequence</w:t>
      </w:r>
    </w:p>
    <w:tbl>
      <w:tblPr>
        <w:tblStyle w:val="TableGrid"/>
        <w:tblW w:type="auto" w:w="0"/>
        <w:jc w:val="center"/>
        <w:tblLook w:firstColumn="1" w:firstRow="1" w:lastColumn="0" w:lastRow="0" w:noHBand="0" w:noVBand="1" w:val="04A0"/>
      </w:tblPr>
      <w:tblGrid>
        <w:gridCol w:w="4997"/>
        <w:gridCol w:w="4997"/>
      </w:tblGrid>
      <w:tr>
        <w:tc>
          <w:tcPr>
            <w:tcW w:type="dxa" w:w="4997"/>
            <w:shd w:fill="E9EEF6"/>
            <w:vAlign w:val="center"/>
          </w:tcPr>
          <w:p>
            <w:r>
              <w:rPr>
                <w:b/>
                <w:sz w:val="17"/>
              </w:rPr>
              <w:t>Release</w:t>
            </w:r>
          </w:p>
        </w:tc>
        <w:tc>
          <w:tcPr>
            <w:tcW w:type="dxa" w:w="4997"/>
            <w:shd w:fill="E9EEF6"/>
            <w:vAlign w:val="center"/>
          </w:tcPr>
          <w:p>
            <w:r>
              <w:rPr>
                <w:b/>
                <w:sz w:val="17"/>
              </w:rPr>
              <w:t>Scope</w:t>
            </w:r>
          </w:p>
        </w:tc>
      </w:tr>
      <w:tr>
        <w:tc>
          <w:tcPr>
            <w:tcW w:type="dxa" w:w="4997"/>
            <w:vAlign w:val="top"/>
          </w:tcPr>
          <w:p>
            <w:r>
              <w:rPr>
                <w:sz w:val="16"/>
              </w:rPr>
              <w:t>F0.2</w:t>
            </w:r>
          </w:p>
        </w:tc>
        <w:tc>
          <w:tcPr>
            <w:tcW w:type="dxa" w:w="4997"/>
            <w:vAlign w:val="top"/>
          </w:tcPr>
          <w:p>
            <w:r>
              <w:rPr>
                <w:sz w:val="16"/>
              </w:rPr>
              <w:t>Agency/client model, Forge Studio concept, Builder/Developer perspectives, interactive preview foundation.</w:t>
            </w:r>
          </w:p>
        </w:tc>
      </w:tr>
      <w:tr>
        <w:tc>
          <w:tcPr>
            <w:tcW w:type="dxa" w:w="4997"/>
            <w:vAlign w:val="top"/>
          </w:tcPr>
          <w:p>
            <w:r>
              <w:rPr>
                <w:sz w:val="16"/>
              </w:rPr>
              <w:t>F0.3</w:t>
            </w:r>
          </w:p>
        </w:tc>
        <w:tc>
          <w:tcPr>
            <w:tcW w:type="dxa" w:w="4997"/>
            <w:vAlign w:val="top"/>
          </w:tcPr>
          <w:p>
            <w:r>
              <w:rPr>
                <w:sz w:val="16"/>
              </w:rPr>
              <w:t>Identity/access, repositories, project context, Design Dossier registry, environments.</w:t>
            </w:r>
          </w:p>
        </w:tc>
      </w:tr>
      <w:tr>
        <w:tc>
          <w:tcPr>
            <w:tcW w:type="dxa" w:w="4997"/>
            <w:vAlign w:val="top"/>
          </w:tcPr>
          <w:p>
            <w:r>
              <w:rPr>
                <w:sz w:val="16"/>
              </w:rPr>
              <w:t>F1.0</w:t>
            </w:r>
          </w:p>
        </w:tc>
        <w:tc>
          <w:tcPr>
            <w:tcW w:type="dxa" w:w="4997"/>
            <w:vAlign w:val="top"/>
          </w:tcPr>
          <w:p>
            <w:r>
              <w:rPr>
                <w:sz w:val="16"/>
              </w:rPr>
              <w:t>Runtime foundation + PostgreSQL tenancy + Data Builder + generated APIs/policies.</w:t>
            </w:r>
          </w:p>
        </w:tc>
      </w:tr>
      <w:tr>
        <w:tc>
          <w:tcPr>
            <w:tcW w:type="dxa" w:w="4997"/>
            <w:vAlign w:val="top"/>
          </w:tcPr>
          <w:p>
            <w:r>
              <w:rPr>
                <w:sz w:val="16"/>
              </w:rPr>
              <w:t>F1.1</w:t>
            </w:r>
          </w:p>
        </w:tc>
        <w:tc>
          <w:tcPr>
            <w:tcW w:type="dxa" w:w="4997"/>
            <w:vAlign w:val="top"/>
          </w:tcPr>
          <w:p>
            <w:r>
              <w:rPr>
                <w:sz w:val="16"/>
              </w:rPr>
              <w:t>Screen Builder + component/design system + real generated preview.</w:t>
            </w:r>
          </w:p>
        </w:tc>
      </w:tr>
      <w:tr>
        <w:tc>
          <w:tcPr>
            <w:tcW w:type="dxa" w:w="4997"/>
            <w:vAlign w:val="top"/>
          </w:tcPr>
          <w:p>
            <w:r>
              <w:rPr>
                <w:sz w:val="16"/>
              </w:rPr>
              <w:t>F1.2</w:t>
            </w:r>
          </w:p>
        </w:tc>
        <w:tc>
          <w:tcPr>
            <w:tcW w:type="dxa" w:w="4997"/>
            <w:vAlign w:val="top"/>
          </w:tcPr>
          <w:p>
            <w:r>
              <w:rPr>
                <w:sz w:val="16"/>
              </w:rPr>
              <w:t>Workflow Builder + jobs/queues + notifications + durable state.</w:t>
            </w:r>
          </w:p>
        </w:tc>
      </w:tr>
      <w:tr>
        <w:tc>
          <w:tcPr>
            <w:tcW w:type="dxa" w:w="4997"/>
            <w:vAlign w:val="top"/>
          </w:tcPr>
          <w:p>
            <w:r>
              <w:rPr>
                <w:sz w:val="16"/>
              </w:rPr>
              <w:t>F1.3</w:t>
            </w:r>
          </w:p>
        </w:tc>
        <w:tc>
          <w:tcPr>
            <w:tcW w:type="dxa" w:w="4997"/>
            <w:vAlign w:val="top"/>
          </w:tcPr>
          <w:p>
            <w:r>
              <w:rPr>
                <w:sz w:val="16"/>
              </w:rPr>
              <w:t>Avery Builder + tool registry + approvals + verification/evaluations.</w:t>
            </w:r>
          </w:p>
        </w:tc>
      </w:tr>
      <w:tr>
        <w:tc>
          <w:tcPr>
            <w:tcW w:type="dxa" w:w="4997"/>
            <w:vAlign w:val="top"/>
          </w:tcPr>
          <w:p>
            <w:r>
              <w:rPr>
                <w:sz w:val="16"/>
              </w:rPr>
              <w:t>F1.4</w:t>
            </w:r>
          </w:p>
        </w:tc>
        <w:tc>
          <w:tcPr>
            <w:tcW w:type="dxa" w:w="4997"/>
            <w:vAlign w:val="top"/>
          </w:tcPr>
          <w:p>
            <w:r>
              <w:rPr>
                <w:sz w:val="16"/>
              </w:rPr>
              <w:t>Certification, visual regression, packaging, CI/CD, Stack Manager/deployment adapters.</w:t>
            </w:r>
          </w:p>
        </w:tc>
      </w:tr>
      <w:tr>
        <w:tc>
          <w:tcPr>
            <w:tcW w:type="dxa" w:w="4997"/>
            <w:vAlign w:val="top"/>
          </w:tcPr>
          <w:p>
            <w:r>
              <w:rPr>
                <w:sz w:val="16"/>
              </w:rPr>
              <w:t>F1.5</w:t>
            </w:r>
          </w:p>
        </w:tc>
        <w:tc>
          <w:tcPr>
            <w:tcW w:type="dxa" w:w="4997"/>
            <w:vAlign w:val="top"/>
          </w:tcPr>
          <w:p>
            <w:r>
              <w:rPr>
                <w:sz w:val="16"/>
              </w:rPr>
              <w:t>Agency templates, client review portal, reusable components, operational hardening.</w:t>
            </w:r>
          </w:p>
        </w:tc>
      </w:tr>
    </w:tbl>
    <w:p>
      <w:pPr>
        <w:pStyle w:val="Heading1"/>
      </w:pPr>
      <w:r>
        <w:t>15. Reference Client</w:t>
      </w:r>
    </w:p>
    <w:p>
      <w:r>
        <w:t>Roll Call is the first reference client. One controlled Roll Call application/domain must be used to prove Forge generation, tenancy, preview, certification, and migration behavior before broad portfolio adoption. Existing Roll Call Platform Architecture v3 remains the governing architecture for Roll Call itself and is treated as a client-specific architecture profile inside Forge.</w:t>
      </w:r>
    </w:p>
    <w:p>
      <w:pPr>
        <w:pStyle w:val="Heading1"/>
      </w:pPr>
      <w:r>
        <w:t>16. Definition of Done for Forge 1.0</w:t>
      </w:r>
    </w:p>
    <w:p>
      <w:pPr>
        <w:pStyle w:val="ListBullet"/>
      </w:pPr>
      <w:r>
        <w:t>A designer can create a client application, data model, permissions, screens, and a workflow visually and preview the real generated app.</w:t>
      </w:r>
    </w:p>
    <w:p>
      <w:pPr>
        <w:pStyle w:val="ListBullet"/>
      </w:pPr>
      <w:r>
        <w:t>A contractor can open the same app in Developer Mode, extend it safely, and pass Forge certification.</w:t>
      </w:r>
    </w:p>
    <w:p>
      <w:pPr>
        <w:pStyle w:val="ListBullet"/>
      </w:pPr>
      <w:r>
        <w:t>Prompt-to-Build supports Explore → Research → Design → Build → Preview → Validate without silent publishing.</w:t>
      </w:r>
    </w:p>
    <w:p>
      <w:pPr>
        <w:pStyle w:val="ListBullet"/>
      </w:pPr>
      <w:r>
        <w:t>Multi-client isolation passes negative tests.</w:t>
      </w:r>
    </w:p>
    <w:p>
      <w:pPr>
        <w:pStyle w:val="ListBullet"/>
      </w:pPr>
      <w:r>
        <w:t>Generated artifacts are reproducible and traceable to build briefs, source, contracts, tests, and dossier versions.</w:t>
      </w:r>
    </w:p>
    <w:p>
      <w:pPr>
        <w:pStyle w:val="ListBullet"/>
      </w:pPr>
      <w:r>
        <w:t>A certified package can be deployed and rolled back through the approved release mechanism.</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