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Dream Kinetic: Forge</w:t>
      </w:r>
    </w:p>
    <w:p>
      <w:r>
        <w:rPr>
          <w:b/>
          <w:sz w:val="22"/>
        </w:rPr>
        <w:t>Runtime &amp; Platform Architecture v1.0</w:t>
      </w:r>
    </w:p>
    <w:p>
      <w:r>
        <w:rPr>
          <w:sz w:val="16"/>
        </w:rPr>
        <w:t>Dream Kinetic • September 2026</w:t>
      </w:r>
    </w:p>
    <w:p/>
    <w:p>
      <w:pPr>
        <w:pStyle w:val="Heading1"/>
      </w:pPr>
      <w:r>
        <w:t>1. Architectural Position</w:t>
      </w:r>
    </w:p>
    <w:p>
      <w:r>
        <w:t>Forge is the visual and engineering control plane. The Forge Runtime is the preferred implementation layer used to execute generated and custom application logic. Neither Forge nor the runtime replaces client-specific architecture contracts; Forge governs them.</w:t>
      </w:r>
    </w:p>
    <w:p>
      <w:pPr>
        <w:pStyle w:val="Heading1"/>
      </w:pPr>
      <w:r>
        <w:t>2. Layering</w:t>
      </w:r>
    </w:p>
    <w:p>
      <w:r>
        <w:t>Agency → Forge Control Plane → Client Architecture Profile → Forge Runtime → Shared Infrastructure. Client applications access stable contracts and SDKs rather than framework internals.</w:t>
      </w:r>
    </w:p>
    <w:p>
      <w:pPr>
        <w:pStyle w:val="Heading1"/>
      </w:pPr>
      <w:r>
        <w:t>3. Preferred Runtime Standard</w:t>
      </w:r>
    </w:p>
    <w:tbl>
      <w:tblPr>
        <w:tblStyle w:val="TableGrid"/>
        <w:tblW w:type="auto" w:w="0"/>
        <w:jc w:val="center"/>
        <w:tblLook w:firstColumn="1" w:firstRow="1" w:lastColumn="0" w:lastRow="0" w:noHBand="0" w:noVBand="1" w:val="04A0"/>
      </w:tblPr>
      <w:tblGrid>
        <w:gridCol w:w="4997"/>
        <w:gridCol w:w="4997"/>
      </w:tblGrid>
      <w:tr>
        <w:tc>
          <w:tcPr>
            <w:tcW w:type="dxa" w:w="4997"/>
            <w:shd w:fill="E9EEF6"/>
            <w:vAlign w:val="center"/>
          </w:tcPr>
          <w:p>
            <w:r>
              <w:rPr>
                <w:b/>
                <w:sz w:val="17"/>
              </w:rPr>
              <w:t>Concern</w:t>
            </w:r>
          </w:p>
        </w:tc>
        <w:tc>
          <w:tcPr>
            <w:tcW w:type="dxa" w:w="4997"/>
            <w:shd w:fill="E9EEF6"/>
            <w:vAlign w:val="center"/>
          </w:tcPr>
          <w:p>
            <w:r>
              <w:rPr>
                <w:b/>
                <w:sz w:val="17"/>
              </w:rPr>
              <w:t>Standard</w:t>
            </w:r>
          </w:p>
        </w:tc>
      </w:tr>
      <w:tr>
        <w:tc>
          <w:tcPr>
            <w:tcW w:type="dxa" w:w="4997"/>
            <w:vAlign w:val="top"/>
          </w:tcPr>
          <w:p>
            <w:r>
              <w:rPr>
                <w:sz w:val="16"/>
              </w:rPr>
              <w:t>Backend runtime</w:t>
            </w:r>
          </w:p>
        </w:tc>
        <w:tc>
          <w:tcPr>
            <w:tcW w:type="dxa" w:w="4997"/>
            <w:vAlign w:val="top"/>
          </w:tcPr>
          <w:p>
            <w:r>
              <w:rPr>
                <w:sz w:val="16"/>
              </w:rPr>
              <w:t>Laravel-based modular application runtime (exact supported version pinned per certified release).</w:t>
            </w:r>
          </w:p>
        </w:tc>
      </w:tr>
      <w:tr>
        <w:tc>
          <w:tcPr>
            <w:tcW w:type="dxa" w:w="4997"/>
            <w:vAlign w:val="top"/>
          </w:tcPr>
          <w:p>
            <w:r>
              <w:rPr>
                <w:sz w:val="16"/>
              </w:rPr>
              <w:t>Language</w:t>
            </w:r>
          </w:p>
        </w:tc>
        <w:tc>
          <w:tcPr>
            <w:tcW w:type="dxa" w:w="4997"/>
            <w:vAlign w:val="top"/>
          </w:tcPr>
          <w:p>
            <w:r>
              <w:rPr>
                <w:sz w:val="16"/>
              </w:rPr>
              <w:t>PHP for primary application runtime; TypeScript for generated/custom web clients.</w:t>
            </w:r>
          </w:p>
        </w:tc>
      </w:tr>
      <w:tr>
        <w:tc>
          <w:tcPr>
            <w:tcW w:type="dxa" w:w="4997"/>
            <w:vAlign w:val="top"/>
          </w:tcPr>
          <w:p>
            <w:r>
              <w:rPr>
                <w:sz w:val="16"/>
              </w:rPr>
              <w:t>Canonical operational data</w:t>
            </w:r>
          </w:p>
        </w:tc>
        <w:tc>
          <w:tcPr>
            <w:tcW w:type="dxa" w:w="4997"/>
            <w:vAlign w:val="top"/>
          </w:tcPr>
          <w:p>
            <w:r>
              <w:rPr>
                <w:sz w:val="16"/>
              </w:rPr>
              <w:t>PostgreSQL-first for new Forge-native applications.</w:t>
            </w:r>
          </w:p>
        </w:tc>
      </w:tr>
      <w:tr>
        <w:tc>
          <w:tcPr>
            <w:tcW w:type="dxa" w:w="4997"/>
            <w:vAlign w:val="top"/>
          </w:tcPr>
          <w:p>
            <w:r>
              <w:rPr>
                <w:sz w:val="16"/>
              </w:rPr>
              <w:t>Cache/ephemeral coordination</w:t>
            </w:r>
          </w:p>
        </w:tc>
        <w:tc>
          <w:tcPr>
            <w:tcW w:type="dxa" w:w="4997"/>
            <w:vAlign w:val="top"/>
          </w:tcPr>
          <w:p>
            <w:r>
              <w:rPr>
                <w:sz w:val="16"/>
              </w:rPr>
              <w:t>Redis or Valkey-compatible service.</w:t>
            </w:r>
          </w:p>
        </w:tc>
      </w:tr>
      <w:tr>
        <w:tc>
          <w:tcPr>
            <w:tcW w:type="dxa" w:w="4997"/>
            <w:vAlign w:val="top"/>
          </w:tcPr>
          <w:p>
            <w:r>
              <w:rPr>
                <w:sz w:val="16"/>
              </w:rPr>
              <w:t>Files</w:t>
            </w:r>
          </w:p>
        </w:tc>
        <w:tc>
          <w:tcPr>
            <w:tcW w:type="dxa" w:w="4997"/>
            <w:vAlign w:val="top"/>
          </w:tcPr>
          <w:p>
            <w:r>
              <w:rPr>
                <w:sz w:val="16"/>
              </w:rPr>
              <w:t>S3-compatible object storage with policy-controlled access.</w:t>
            </w:r>
          </w:p>
        </w:tc>
      </w:tr>
      <w:tr>
        <w:tc>
          <w:tcPr>
            <w:tcW w:type="dxa" w:w="4997"/>
            <w:vAlign w:val="top"/>
          </w:tcPr>
          <w:p>
            <w:r>
              <w:rPr>
                <w:sz w:val="16"/>
              </w:rPr>
              <w:t>Web client</w:t>
            </w:r>
          </w:p>
        </w:tc>
        <w:tc>
          <w:tcPr>
            <w:tcW w:type="dxa" w:w="4997"/>
            <w:vAlign w:val="top"/>
          </w:tcPr>
          <w:p>
            <w:r>
              <w:rPr>
                <w:sz w:val="16"/>
              </w:rPr>
              <w:t>React/Next.js-class decoupled clients using Forge/Roll Call design system contracts; specific versions pinned in release manifests.</w:t>
            </w:r>
          </w:p>
        </w:tc>
      </w:tr>
      <w:tr>
        <w:tc>
          <w:tcPr>
            <w:tcW w:type="dxa" w:w="4997"/>
            <w:vAlign w:val="top"/>
          </w:tcPr>
          <w:p>
            <w:r>
              <w:rPr>
                <w:sz w:val="16"/>
              </w:rPr>
              <w:t>Admin/internal surfaces</w:t>
            </w:r>
          </w:p>
        </w:tc>
        <w:tc>
          <w:tcPr>
            <w:tcW w:type="dxa" w:w="4997"/>
            <w:vAlign w:val="top"/>
          </w:tcPr>
          <w:p>
            <w:r>
              <w:rPr>
                <w:sz w:val="16"/>
              </w:rPr>
              <w:t>Filament/Livewire permitted where it improves operator efficiency; not mandatory for differentiated client UX.</w:t>
            </w:r>
          </w:p>
        </w:tc>
      </w:tr>
      <w:tr>
        <w:tc>
          <w:tcPr>
            <w:tcW w:type="dxa" w:w="4997"/>
            <w:vAlign w:val="top"/>
          </w:tcPr>
          <w:p>
            <w:r>
              <w:rPr>
                <w:sz w:val="16"/>
              </w:rPr>
              <w:t>API</w:t>
            </w:r>
          </w:p>
        </w:tc>
        <w:tc>
          <w:tcPr>
            <w:tcW w:type="dxa" w:w="4997"/>
            <w:vAlign w:val="top"/>
          </w:tcPr>
          <w:p>
            <w:r>
              <w:rPr>
                <w:sz w:val="16"/>
              </w:rPr>
              <w:t>Contract-first REST/JSON with OpenAPI; GraphQL optional where specifically justified.</w:t>
            </w:r>
          </w:p>
        </w:tc>
      </w:tr>
      <w:tr>
        <w:tc>
          <w:tcPr>
            <w:tcW w:type="dxa" w:w="4997"/>
            <w:vAlign w:val="top"/>
          </w:tcPr>
          <w:p>
            <w:r>
              <w:rPr>
                <w:sz w:val="16"/>
              </w:rPr>
              <w:t>Async</w:t>
            </w:r>
          </w:p>
        </w:tc>
        <w:tc>
          <w:tcPr>
            <w:tcW w:type="dxa" w:w="4997"/>
            <w:vAlign w:val="top"/>
          </w:tcPr>
          <w:p>
            <w:r>
              <w:rPr>
                <w:sz w:val="16"/>
              </w:rPr>
              <w:t>Queues/events initially; durable workflow abstraction for multi-step/waiting/compensating work.</w:t>
            </w:r>
          </w:p>
        </w:tc>
      </w:tr>
      <w:tr>
        <w:tc>
          <w:tcPr>
            <w:tcW w:type="dxa" w:w="4997"/>
            <w:vAlign w:val="top"/>
          </w:tcPr>
          <w:p>
            <w:r>
              <w:rPr>
                <w:sz w:val="16"/>
              </w:rPr>
              <w:t>Containers</w:t>
            </w:r>
          </w:p>
        </w:tc>
        <w:tc>
          <w:tcPr>
            <w:tcW w:type="dxa" w:w="4997"/>
            <w:vAlign w:val="top"/>
          </w:tcPr>
          <w:p>
            <w:r>
              <w:rPr>
                <w:sz w:val="16"/>
              </w:rPr>
              <w:t>Docker-compatible packaging; orchestration selected by operational need, not mandated as Kubernetes.</w:t>
            </w:r>
          </w:p>
        </w:tc>
      </w:tr>
      <w:tr>
        <w:tc>
          <w:tcPr>
            <w:tcW w:type="dxa" w:w="4997"/>
            <w:vAlign w:val="top"/>
          </w:tcPr>
          <w:p>
            <w:r>
              <w:rPr>
                <w:sz w:val="16"/>
              </w:rPr>
              <w:t>Edge</w:t>
            </w:r>
          </w:p>
        </w:tc>
        <w:tc>
          <w:tcPr>
            <w:tcW w:type="dxa" w:w="4997"/>
            <w:vAlign w:val="top"/>
          </w:tcPr>
          <w:p>
            <w:r>
              <w:rPr>
                <w:sz w:val="16"/>
              </w:rPr>
              <w:t>CDN/WAF/DDoS/rate-limit layer in front of application ingress.</w:t>
            </w:r>
          </w:p>
        </w:tc>
      </w:tr>
    </w:tbl>
    <w:p>
      <w:pPr>
        <w:pStyle w:val="Heading1"/>
      </w:pPr>
      <w:r>
        <w:t>4. Multi-Tenant Isolation</w:t>
      </w:r>
    </w:p>
    <w:p>
      <w:r>
        <w:t>Every authoritative request carries agency, client, workspace, application, environment, actor, session, and correlation context. Browser-supplied identifiers are requests, never proof of authorization. Data access must be scoped server-side. Cross-client negative tests are release-blocking.</w:t>
      </w:r>
    </w:p>
    <w:p>
      <w:pPr>
        <w:pStyle w:val="Heading1"/>
      </w:pPr>
      <w:r>
        <w:t>5. Generated Application Model</w:t>
      </w:r>
    </w:p>
    <w:p>
      <w:pPr>
        <w:pStyle w:val="ListBullet"/>
      </w:pPr>
      <w:r>
        <w:t>Objects and relationships generate explicit database migrations, indexes, models/repositories, schemas, validation, and API contracts.</w:t>
      </w:r>
    </w:p>
    <w:p>
      <w:pPr>
        <w:pStyle w:val="ListBullet"/>
      </w:pPr>
      <w:r>
        <w:t>Permissions generate server-side policies and test fixtures.</w:t>
      </w:r>
    </w:p>
    <w:p>
      <w:pPr>
        <w:pStyle w:val="ListBullet"/>
      </w:pPr>
      <w:r>
        <w:t>Workflows generate versioned definitions and durable execution state where required.</w:t>
      </w:r>
    </w:p>
    <w:p>
      <w:pPr>
        <w:pStyle w:val="ListBullet"/>
      </w:pPr>
      <w:r>
        <w:t>Screens generate client components bound to contract-defined data/actions rather than direct database access.</w:t>
      </w:r>
    </w:p>
    <w:p>
      <w:pPr>
        <w:pStyle w:val="ListBullet"/>
      </w:pPr>
      <w:r>
        <w:t>Avery capabilities generate registered tool contracts, risk/approval policy, verification logic, receipts, and evaluation cases.</w:t>
      </w:r>
    </w:p>
    <w:p>
      <w:pPr>
        <w:pStyle w:val="Heading1"/>
      </w:pPr>
      <w:r>
        <w:t>6. Generated vs Custom Code Boundary</w:t>
      </w:r>
    </w:p>
    <w:p>
      <w:r>
        <w:t>Forge-owned generated files must be reproducible from application metadata. Developer-written extensions live in explicit extension namespaces/packages and interact through documented contracts. Forge must not silently overwrite custom code. Generated output is either fully regenerated in protected areas or extended through stable hooks/interfaces.</w:t>
      </w:r>
    </w:p>
    <w:p>
      <w:pPr>
        <w:pStyle w:val="Heading1"/>
      </w:pPr>
      <w:r>
        <w:t>7. Application Ownership</w:t>
      </w:r>
    </w:p>
    <w:p>
      <w:r>
        <w:t>Every resource type has exactly one authoritative domain owner and one canonical write path. Direct cross-domain table access is prohibited. Shared functionality is exposed through contracts, events, or approved platform services.</w:t>
      </w:r>
    </w:p>
    <w:p>
      <w:pPr>
        <w:pStyle w:val="Heading1"/>
      </w:pPr>
      <w:r>
        <w:t>8. Identity and Access</w:t>
      </w:r>
    </w:p>
    <w:p>
      <w:r>
        <w:t>Forge must provide its own agency/client identity and access layer. Client applications may adopt their own architecture profiles (for example Roll Call Identity 2.0 and Roll Call Access) while remaining isolated from Forge operator identity. Machine identities, developer identities, client identities, and AI-provider identities are distinct.</w:t>
      </w:r>
    </w:p>
    <w:p>
      <w:pPr>
        <w:pStyle w:val="Heading1"/>
      </w:pPr>
      <w:r>
        <w:t>9. AI Execution Boundary</w:t>
      </w:r>
    </w:p>
    <w:p>
      <w:pPr>
        <w:pStyle w:val="ListBullet"/>
      </w:pPr>
      <w:r>
        <w:t>Discussion/research does not mutate application state.</w:t>
      </w:r>
    </w:p>
    <w:p>
      <w:pPr>
        <w:pStyle w:val="ListBullet"/>
      </w:pPr>
      <w:r>
        <w:t>Build execution requires an explicit build mode/approved brief.</w:t>
      </w:r>
    </w:p>
    <w:p>
      <w:pPr>
        <w:pStyle w:val="ListBullet"/>
      </w:pPr>
      <w:r>
        <w:t>AI may modify only authorized development branches/environments.</w:t>
      </w:r>
    </w:p>
    <w:p>
      <w:pPr>
        <w:pStyle w:val="ListBullet"/>
      </w:pPr>
      <w:r>
        <w:t>Material completion requires authoritative verification, not tool-returned success alone.</w:t>
      </w:r>
    </w:p>
    <w:p>
      <w:pPr>
        <w:pStyle w:val="ListBullet"/>
      </w:pPr>
      <w:r>
        <w:t>Production release remains a separately authorized operation.</w:t>
      </w:r>
    </w:p>
    <w:p>
      <w:pPr>
        <w:pStyle w:val="Heading1"/>
      </w:pPr>
      <w:r>
        <w:t>10. WordPress and Legacy Systems</w:t>
      </w:r>
    </w:p>
    <w:p>
      <w:r>
        <w:t>Forge is framework-first and CMS-optional. WordPress may appear as a client legacy/content adapter but is not the default Forge runtime. For Roll Call, existing WordPress systems remain behind the Roll Call v3 adapter boundary until domain-by-domain migration and parity gates are complete.</w:t>
      </w:r>
    </w:p>
    <w:p>
      <w:pPr>
        <w:pStyle w:val="Heading1"/>
      </w:pPr>
      <w:r>
        <w:t>11. Observability and Audit</w:t>
      </w:r>
    </w:p>
    <w:p>
      <w:r>
        <w:t>Applications must emit structured logs, distributed traces, health/readiness signals, domain events, and append-only audit/receipt records. User action → prompt/build plan → code or configuration mutation → deployment → runtime effect must be correlatable.</w:t>
      </w:r>
    </w:p>
    <w:p>
      <w:pPr>
        <w:pStyle w:val="Heading1"/>
      </w:pPr>
      <w:r>
        <w:t>12. Forge Release Contract</w:t>
      </w:r>
    </w:p>
    <w:p>
      <w:pPr>
        <w:pStyle w:val="ListBullet"/>
      </w:pPr>
      <w:r>
        <w:t>Known source commit and generated metadata snapshot.</w:t>
      </w:r>
    </w:p>
    <w:p>
      <w:pPr>
        <w:pStyle w:val="ListBullet"/>
      </w:pPr>
      <w:r>
        <w:t>Pinned runtime/dependency versions.</w:t>
      </w:r>
    </w:p>
    <w:p>
      <w:pPr>
        <w:pStyle w:val="ListBullet"/>
      </w:pPr>
      <w:r>
        <w:t>Architecture profile and Design Dossier version.</w:t>
      </w:r>
    </w:p>
    <w:p>
      <w:pPr>
        <w:pStyle w:val="ListBullet"/>
      </w:pPr>
      <w:r>
        <w:t>Schema/migration versions.</w:t>
      </w:r>
    </w:p>
    <w:p>
      <w:pPr>
        <w:pStyle w:val="ListBullet"/>
      </w:pPr>
      <w:r>
        <w:t>Test and visual-regression results.</w:t>
      </w:r>
    </w:p>
    <w:p>
      <w:pPr>
        <w:pStyle w:val="ListBullet"/>
      </w:pPr>
      <w:r>
        <w:t>SBOM, checksums, signatures/provenance where available.</w:t>
      </w:r>
    </w:p>
    <w:p>
      <w:pPr>
        <w:pStyle w:val="ListBullet"/>
      </w:pPr>
      <w:r>
        <w:t>Health gates and rollback instructions.</w:t>
      </w:r>
    </w:p>
    <w:p>
      <w:pPr>
        <w:pStyle w:val="ListBullet"/>
      </w:pPr>
      <w:r>
        <w:t>Environment/deployment receipt.</w:t>
      </w:r>
    </w:p>
    <w:p>
      <w:pPr>
        <w:pStyle w:val="Heading1"/>
      </w:pPr>
      <w:r>
        <w:t>13. Architecture Decision: Laravel</w:t>
      </w:r>
    </w:p>
    <w:p>
      <w:r>
        <w:t>Laravel is approved as the preferred first Forge application runtime because it supplies mature routing, middleware, validation, database migrations, ORM/query tooling, queues, events, authorization, notifications, storage, testing, and CLI primitives suitable for generation by Forge. This is an implementation decision beneath Forge architecture; it is not a cross-client contract and may be revisited through a formal architecture decision without rewriting application contracts.</w:t>
      </w:r>
    </w:p>
    <w:p>
      <w:pPr>
        <w:pStyle w:val="Heading1"/>
      </w:pPr>
      <w:r>
        <w:t>14. Non-Goals</w:t>
      </w:r>
    </w:p>
    <w:p>
      <w:pPr>
        <w:pStyle w:val="ListBullet"/>
      </w:pPr>
      <w:r>
        <w:t>No big-bang rewrite of existing client products.</w:t>
      </w:r>
    </w:p>
    <w:p>
      <w:pPr>
        <w:pStyle w:val="ListBullet"/>
      </w:pPr>
      <w:r>
        <w:t>No requirement that every user-facing screen use Filament or Livewire.</w:t>
      </w:r>
    </w:p>
    <w:p>
      <w:pPr>
        <w:pStyle w:val="ListBullet"/>
      </w:pPr>
      <w:r>
        <w:t>No Kubernetes requirement.</w:t>
      </w:r>
    </w:p>
    <w:p>
      <w:pPr>
        <w:pStyle w:val="ListBullet"/>
      </w:pPr>
      <w:r>
        <w:t>No direct AI access to production secrets or arbitrary production write capability.</w:t>
      </w:r>
    </w:p>
    <w:p>
      <w:pPr>
        <w:pStyle w:val="ListBullet"/>
      </w:pPr>
      <w:r>
        <w:t>No assumption that a low-code builder eliminates the need for custom code extension points.</w:t>
      </w:r>
    </w:p>
    <w:p>
      <w:pPr>
        <w:pStyle w:val="Heading1"/>
      </w:pPr>
      <w:r>
        <w:t>15. Immediate Implementation Order</w:t>
      </w:r>
    </w:p>
    <w:p>
      <w:pPr>
        <w:pStyle w:val="ListNumber"/>
      </w:pPr>
      <w:r>
        <w:t>Forge agency/client/workspace/application/environment identity and tenancy foundation.</w:t>
      </w:r>
    </w:p>
    <w:p>
      <w:pPr>
        <w:pStyle w:val="ListNumber"/>
      </w:pPr>
      <w:r>
        <w:t>Project/architecture/design registry and AI context pack.</w:t>
      </w:r>
    </w:p>
    <w:p>
      <w:pPr>
        <w:pStyle w:val="ListNumber"/>
      </w:pPr>
      <w:r>
        <w:t>Laravel-based Forge Runtime skeleton and PostgreSQL tenancy substrate.</w:t>
      </w:r>
    </w:p>
    <w:p>
      <w:pPr>
        <w:pStyle w:val="ListNumber"/>
      </w:pPr>
      <w:r>
        <w:t>Data Builder → generated schema/API/policy/test pipeline.</w:t>
      </w:r>
    </w:p>
    <w:p>
      <w:pPr>
        <w:pStyle w:val="ListNumber"/>
      </w:pPr>
      <w:r>
        <w:t>Real Screen Builder preview against generated runtime.</w:t>
      </w:r>
    </w:p>
    <w:p>
      <w:pPr>
        <w:pStyle w:val="ListNumber"/>
      </w:pPr>
      <w:r>
        <w:t>Workflow Builder and durable execution abstraction.</w:t>
      </w:r>
    </w:p>
    <w:p>
      <w:pPr>
        <w:pStyle w:val="ListNumber"/>
      </w:pPr>
      <w:r>
        <w:t>Avery Builder and evaluation/verification harness.</w:t>
      </w:r>
    </w:p>
    <w:p>
      <w:pPr>
        <w:pStyle w:val="ListNumber"/>
      </w:pPr>
      <w:r>
        <w:t>Certification, packaging, CI/CD, deployment adapters, and agency template library.</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