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sz w:val="24"/>
          <w:szCs w:val="24"/>
        </w:rPr>
      </w:pPr>
      <w:r w:rsidDel="00000000" w:rsidR="00000000" w:rsidRPr="00000000">
        <w:rPr>
          <w:b w:val="1"/>
          <w:bCs w:val="1"/>
          <w:sz w:val="24"/>
          <w:szCs w:val="24"/>
          <w:rtl w:val="0"/>
        </w:rPr>
        <w:t xml:space="preserve">Data Collection and Preprocessing Phase</w:t>
      </w:r>
      <w:r w:rsidDel="00000000" w:rsidR="00000000" w:rsidRPr="00000000">
        <w:rPr>
          <w:rtl w:val="0"/>
        </w:rPr>
      </w:r>
    </w:p>
    <w:tbl>
      <w:tblPr>
        <w:tblStyle w:val="Table1"/>
        <w:tblW w:w="7560.0" w:type="dxa"/>
        <w:jc w:val="left"/>
        <w:tblInd w:w="148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600"/>
        <w:gridCol w:w="3960"/>
        <w:tblGridChange w:id="0">
          <w:tblGrid>
            <w:gridCol w:w="3600"/>
            <w:gridCol w:w="3960"/>
          </w:tblGrid>
        </w:tblGridChange>
      </w:tblGrid>
      <w:tr>
        <w:trPr>
          <w:cantSplit w:val="0"/>
          <w:tblHeader w:val="0"/>
        </w:trPr>
        <w:tc>
          <w:tcPr/>
          <w:p w:rsidR="00000000" w:rsidDel="00000000" w:rsidP="00000000" w:rsidRDefault="00000000" w:rsidRPr="00000000" w14:paraId="00000002">
            <w:pPr>
              <w:rPr>
                <w:sz w:val="22"/>
                <w:szCs w:val="22"/>
              </w:rPr>
            </w:pPr>
            <w:r w:rsidDel="00000000" w:rsidR="00000000" w:rsidRPr="00000000">
              <w:rPr>
                <w:rFonts w:ascii="Arial" w:cs="Arial" w:eastAsia="Arial" w:hAnsi="Arial"/>
                <w:b w:val="1"/>
                <w:bCs w:val="1"/>
                <w:sz w:val="22"/>
                <w:szCs w:val="22"/>
                <w:rtl w:val="0"/>
              </w:rPr>
              <w:t xml:space="preserve">Date</w:t>
            </w:r>
            <w:r w:rsidDel="00000000" w:rsidR="00000000" w:rsidRPr="00000000">
              <w:rPr>
                <w:rtl w:val="0"/>
              </w:rPr>
            </w:r>
          </w:p>
        </w:tc>
        <w:tc>
          <w:tcPr/>
          <w:p w:rsidR="00000000" w:rsidDel="00000000" w:rsidP="00000000" w:rsidRDefault="00000000" w:rsidRPr="00000000" w14:paraId="00000003">
            <w:pPr>
              <w:rPr>
                <w:sz w:val="22"/>
                <w:szCs w:val="22"/>
              </w:rPr>
            </w:pPr>
            <w:r w:rsidDel="00000000" w:rsidR="00000000" w:rsidRPr="00000000">
              <w:rPr>
                <w:rFonts w:ascii="Arial" w:cs="Arial" w:eastAsia="Arial" w:hAnsi="Arial"/>
                <w:sz w:val="22"/>
                <w:szCs w:val="22"/>
                <w:rtl w:val="0"/>
              </w:rPr>
              <w:t xml:space="preserve">12 August 2026</w:t>
            </w:r>
            <w:r w:rsidDel="00000000" w:rsidR="00000000" w:rsidRPr="00000000">
              <w:rPr>
                <w:rtl w:val="0"/>
              </w:rPr>
            </w:r>
          </w:p>
        </w:tc>
      </w:tr>
      <w:tr>
        <w:trPr>
          <w:cantSplit w:val="0"/>
          <w:tblHeader w:val="0"/>
        </w:trPr>
        <w:tc>
          <w:tcPr/>
          <w:p w:rsidR="00000000" w:rsidDel="00000000" w:rsidP="00000000" w:rsidRDefault="00000000" w:rsidRPr="00000000" w14:paraId="00000004">
            <w:pPr>
              <w:rPr>
                <w:sz w:val="22"/>
                <w:szCs w:val="22"/>
              </w:rPr>
            </w:pPr>
            <w:r w:rsidDel="00000000" w:rsidR="00000000" w:rsidRPr="00000000">
              <w:rPr>
                <w:rFonts w:ascii="Arial" w:cs="Arial" w:eastAsia="Arial" w:hAnsi="Arial"/>
                <w:b w:val="1"/>
                <w:bCs w:val="1"/>
                <w:sz w:val="22"/>
                <w:szCs w:val="22"/>
                <w:rtl w:val="0"/>
              </w:rPr>
              <w:t xml:space="preserve">Project Title</w:t>
            </w:r>
            <w:r w:rsidDel="00000000" w:rsidR="00000000" w:rsidRPr="00000000">
              <w:rPr>
                <w:rtl w:val="0"/>
              </w:rPr>
            </w:r>
          </w:p>
        </w:tc>
        <w:tc>
          <w:tcPr/>
          <w:p w:rsidR="00000000" w:rsidDel="00000000" w:rsidP="00000000" w:rsidRDefault="00000000" w:rsidRPr="00000000" w14:paraId="00000005">
            <w:pPr>
              <w:rPr>
                <w:sz w:val="22"/>
                <w:szCs w:val="22"/>
              </w:rPr>
            </w:pPr>
            <w:r w:rsidDel="00000000" w:rsidR="00000000" w:rsidRPr="00000000">
              <w:rPr>
                <w:rFonts w:ascii="Arial" w:cs="Arial" w:eastAsia="Arial" w:hAnsi="Arial"/>
                <w:sz w:val="22"/>
                <w:szCs w:val="22"/>
                <w:rtl w:val="0"/>
              </w:rPr>
              <w:t xml:space="preserve">AI Career Pulse: Decoding the Job Market</w:t>
            </w:r>
            <w:r w:rsidDel="00000000" w:rsidR="00000000" w:rsidRPr="00000000">
              <w:rPr>
                <w:rtl w:val="0"/>
              </w:rPr>
            </w:r>
          </w:p>
        </w:tc>
      </w:tr>
    </w:tbl>
    <w:p w:rsidR="00000000" w:rsidDel="00000000" w:rsidP="00000000" w:rsidRDefault="00000000" w:rsidRPr="00000000" w14:paraId="00000006">
      <w:pPr>
        <w:rPr>
          <w:sz w:val="22"/>
          <w:szCs w:val="22"/>
        </w:rPr>
      </w:pPr>
      <w:r w:rsidDel="00000000" w:rsidR="00000000" w:rsidRPr="00000000">
        <w:rPr>
          <w:rtl w:val="0"/>
        </w:rPr>
      </w:r>
    </w:p>
    <w:p w:rsidR="00000000" w:rsidDel="00000000" w:rsidP="00000000" w:rsidRDefault="00000000" w:rsidRPr="00000000" w14:paraId="00000007">
      <w:pPr>
        <w:rPr>
          <w:sz w:val="22"/>
          <w:szCs w:val="22"/>
        </w:rPr>
      </w:pPr>
      <w:r w:rsidDel="00000000" w:rsidR="00000000" w:rsidRPr="00000000">
        <w:rPr>
          <w:b w:val="1"/>
          <w:bCs w:val="1"/>
          <w:sz w:val="22"/>
          <w:szCs w:val="22"/>
          <w:rtl w:val="0"/>
        </w:rPr>
        <w:t xml:space="preserve">Data Exploration and Preprocessing</w:t>
      </w:r>
      <w:r w:rsidDel="00000000" w:rsidR="00000000" w:rsidRPr="00000000">
        <w:rPr>
          <w:rtl w:val="0"/>
        </w:rPr>
      </w:r>
    </w:p>
    <w:tbl>
      <w:tblPr>
        <w:tblStyle w:val="Table2"/>
        <w:tblW w:w="1038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95"/>
        <w:gridCol w:w="6885"/>
        <w:tblGridChange w:id="0">
          <w:tblGrid>
            <w:gridCol w:w="3495"/>
            <w:gridCol w:w="6885"/>
          </w:tblGrid>
        </w:tblGridChange>
      </w:tblGrid>
      <w:tr>
        <w:trPr>
          <w:cantSplit w:val="0"/>
          <w:trHeight w:val="558.984375" w:hRule="atLeast"/>
          <w:tblHeader w:val="0"/>
        </w:trPr>
        <w:tc>
          <w:tcPr>
            <w:vAlign w:val="center"/>
          </w:tcPr>
          <w:p w:rsidR="00000000" w:rsidDel="00000000" w:rsidP="00000000" w:rsidRDefault="00000000" w:rsidRPr="00000000" w14:paraId="00000008">
            <w:pPr>
              <w:spacing w:after="0" w:lineRule="auto"/>
              <w:rPr>
                <w:sz w:val="22"/>
                <w:szCs w:val="22"/>
              </w:rPr>
            </w:pPr>
            <w:r w:rsidDel="00000000" w:rsidR="00000000" w:rsidRPr="00000000">
              <w:rPr>
                <w:rFonts w:ascii="Arial" w:cs="Arial" w:eastAsia="Arial" w:hAnsi="Arial"/>
                <w:b w:val="1"/>
                <w:bCs w:val="1"/>
                <w:sz w:val="22"/>
                <w:szCs w:val="22"/>
                <w:rtl w:val="0"/>
              </w:rPr>
              <w:t xml:space="preserve">Section</w:t>
            </w:r>
            <w:r w:rsidDel="00000000" w:rsidR="00000000" w:rsidRPr="00000000">
              <w:rPr>
                <w:rtl w:val="0"/>
              </w:rPr>
            </w:r>
          </w:p>
        </w:tc>
        <w:tc>
          <w:tcPr>
            <w:vAlign w:val="center"/>
          </w:tcPr>
          <w:p w:rsidR="00000000" w:rsidDel="00000000" w:rsidP="00000000" w:rsidRDefault="00000000" w:rsidRPr="00000000" w14:paraId="00000009">
            <w:pPr>
              <w:spacing w:after="0" w:lineRule="auto"/>
              <w:rPr>
                <w:sz w:val="22"/>
                <w:szCs w:val="22"/>
              </w:rPr>
            </w:pPr>
            <w:r w:rsidDel="00000000" w:rsidR="00000000" w:rsidRPr="00000000">
              <w:rPr>
                <w:rFonts w:ascii="Arial" w:cs="Arial" w:eastAsia="Arial" w:hAnsi="Arial"/>
                <w:b w:val="1"/>
                <w:bCs w:val="1"/>
                <w:sz w:val="22"/>
                <w:szCs w:val="22"/>
                <w:rtl w:val="0"/>
              </w:rPr>
              <w:t xml:space="preserve">Work Completed / Findings</w:t>
            </w:r>
            <w:r w:rsidDel="00000000" w:rsidR="00000000" w:rsidRPr="00000000">
              <w:rPr>
                <w:rtl w:val="0"/>
              </w:rPr>
            </w:r>
          </w:p>
        </w:tc>
      </w:tr>
      <w:tr>
        <w:trPr>
          <w:cantSplit w:val="0"/>
          <w:trHeight w:val="1440.9375" w:hRule="atLeast"/>
          <w:tblHeader w:val="0"/>
        </w:trPr>
        <w:tc>
          <w:tcPr>
            <w:vAlign w:val="center"/>
          </w:tcPr>
          <w:p w:rsidR="00000000" w:rsidDel="00000000" w:rsidP="00000000" w:rsidRDefault="00000000" w:rsidRPr="00000000" w14:paraId="0000000A">
            <w:pPr>
              <w:spacing w:after="0" w:lineRule="auto"/>
              <w:rPr>
                <w:sz w:val="22"/>
                <w:szCs w:val="22"/>
              </w:rPr>
            </w:pPr>
            <w:r w:rsidDel="00000000" w:rsidR="00000000" w:rsidRPr="00000000">
              <w:rPr>
                <w:rFonts w:ascii="Arial" w:cs="Arial" w:eastAsia="Arial" w:hAnsi="Arial"/>
                <w:b w:val="1"/>
                <w:bCs w:val="1"/>
                <w:sz w:val="22"/>
                <w:szCs w:val="22"/>
                <w:rtl w:val="0"/>
              </w:rPr>
              <w:t xml:space="preserve">Data Overview</w:t>
            </w:r>
            <w:r w:rsidDel="00000000" w:rsidR="00000000" w:rsidRPr="00000000">
              <w:rPr>
                <w:rtl w:val="0"/>
              </w:rPr>
            </w:r>
          </w:p>
        </w:tc>
        <w:tc>
          <w:tcPr>
            <w:vAlign w:val="center"/>
          </w:tcPr>
          <w:p w:rsidR="00000000" w:rsidDel="00000000" w:rsidP="00000000" w:rsidRDefault="00000000" w:rsidRPr="00000000" w14:paraId="0000000B">
            <w:pPr>
              <w:spacing w:after="0" w:lineRule="auto"/>
              <w:rPr>
                <w:sz w:val="22"/>
                <w:szCs w:val="22"/>
              </w:rPr>
            </w:pPr>
            <w:r w:rsidDel="00000000" w:rsidR="00000000" w:rsidRPr="00000000">
              <w:rPr>
                <w:rFonts w:ascii="Arial" w:cs="Arial" w:eastAsia="Arial" w:hAnsi="Arial"/>
                <w:sz w:val="22"/>
                <w:szCs w:val="22"/>
                <w:rtl w:val="0"/>
              </w:rPr>
              <w:t xml:space="preserve">The dataset contains 1,500 AI job-market records and 25 variables in CSV format. It covers job roles, categories, experience, education, salaries, locations, remote work, company size, industries, skills, demand, growth, benefits, and job indicators.</w:t>
            </w:r>
            <w:r w:rsidDel="00000000" w:rsidR="00000000" w:rsidRPr="00000000">
              <w:rPr>
                <w:rtl w:val="0"/>
              </w:rPr>
            </w:r>
          </w:p>
        </w:tc>
      </w:tr>
      <w:tr>
        <w:trPr>
          <w:cantSplit w:val="0"/>
          <w:trHeight w:val="720" w:hRule="atLeast"/>
          <w:tblHeader w:val="0"/>
        </w:trPr>
        <w:tc>
          <w:tcPr>
            <w:vAlign w:val="center"/>
          </w:tcPr>
          <w:p w:rsidR="00000000" w:rsidDel="00000000" w:rsidP="00000000" w:rsidRDefault="00000000" w:rsidRPr="00000000" w14:paraId="0000000C">
            <w:pPr>
              <w:spacing w:after="0" w:lineRule="auto"/>
              <w:rPr>
                <w:sz w:val="22"/>
                <w:szCs w:val="22"/>
              </w:rPr>
            </w:pPr>
            <w:r w:rsidDel="00000000" w:rsidR="00000000" w:rsidRPr="00000000">
              <w:rPr>
                <w:rFonts w:ascii="Arial" w:cs="Arial" w:eastAsia="Arial" w:hAnsi="Arial"/>
                <w:b w:val="1"/>
                <w:bCs w:val="1"/>
                <w:sz w:val="22"/>
                <w:szCs w:val="22"/>
                <w:rtl w:val="0"/>
              </w:rPr>
              <w:t xml:space="preserve">Data Cleaning</w:t>
            </w:r>
            <w:r w:rsidDel="00000000" w:rsidR="00000000" w:rsidRPr="00000000">
              <w:rPr>
                <w:rtl w:val="0"/>
              </w:rPr>
            </w:r>
          </w:p>
        </w:tc>
        <w:tc>
          <w:tcPr>
            <w:vAlign w:val="center"/>
          </w:tcPr>
          <w:p w:rsidR="00000000" w:rsidDel="00000000" w:rsidP="00000000" w:rsidRDefault="00000000" w:rsidRPr="00000000" w14:paraId="0000000D">
            <w:pPr>
              <w:spacing w:after="0" w:lineRule="auto"/>
              <w:rPr>
                <w:sz w:val="22"/>
                <w:szCs w:val="22"/>
              </w:rPr>
            </w:pPr>
            <w:r w:rsidDel="00000000" w:rsidR="00000000" w:rsidRPr="00000000">
              <w:rPr>
                <w:rFonts w:ascii="Arial" w:cs="Arial" w:eastAsia="Arial" w:hAnsi="Arial"/>
                <w:sz w:val="22"/>
                <w:szCs w:val="22"/>
                <w:rtl w:val="0"/>
              </w:rPr>
              <w:t xml:space="preserve">No missing values were found and no duplicate rows or duplicate job IDs were identified. </w:t>
            </w:r>
            <w:r w:rsidDel="00000000" w:rsidR="00000000" w:rsidRPr="00000000">
              <w:rPr>
                <w:rtl w:val="0"/>
              </w:rPr>
            </w:r>
          </w:p>
        </w:tc>
      </w:tr>
      <w:tr>
        <w:trPr>
          <w:cantSplit w:val="0"/>
          <w:trHeight w:val="1140" w:hRule="atLeast"/>
          <w:tblHeader w:val="0"/>
        </w:trPr>
        <w:tc>
          <w:tcPr>
            <w:vAlign w:val="center"/>
          </w:tcPr>
          <w:p w:rsidR="00000000" w:rsidDel="00000000" w:rsidP="00000000" w:rsidRDefault="00000000" w:rsidRPr="00000000" w14:paraId="0000000E">
            <w:pPr>
              <w:spacing w:after="0" w:lineRule="auto"/>
              <w:rPr>
                <w:sz w:val="22"/>
                <w:szCs w:val="22"/>
              </w:rPr>
            </w:pPr>
            <w:r w:rsidDel="00000000" w:rsidR="00000000" w:rsidRPr="00000000">
              <w:rPr>
                <w:rFonts w:ascii="Arial" w:cs="Arial" w:eastAsia="Arial" w:hAnsi="Arial"/>
                <w:b w:val="1"/>
                <w:bCs w:val="1"/>
                <w:sz w:val="22"/>
                <w:szCs w:val="22"/>
                <w:rtl w:val="0"/>
              </w:rPr>
              <w:t xml:space="preserve">Data Transformation</w:t>
            </w:r>
            <w:r w:rsidDel="00000000" w:rsidR="00000000" w:rsidRPr="00000000">
              <w:rPr>
                <w:rtl w:val="0"/>
              </w:rPr>
            </w:r>
          </w:p>
        </w:tc>
        <w:tc>
          <w:tcPr>
            <w:vAlign w:val="center"/>
          </w:tcPr>
          <w:p w:rsidR="00000000" w:rsidDel="00000000" w:rsidP="00000000" w:rsidRDefault="00000000" w:rsidRPr="00000000" w14:paraId="0000000F">
            <w:pPr>
              <w:spacing w:after="0" w:lineRule="auto"/>
              <w:rPr>
                <w:sz w:val="22"/>
                <w:szCs w:val="22"/>
              </w:rPr>
            </w:pPr>
            <w:r w:rsidDel="00000000" w:rsidR="00000000" w:rsidRPr="00000000">
              <w:rPr>
                <w:rFonts w:ascii="Arial" w:cs="Arial" w:eastAsia="Arial" w:hAnsi="Arial"/>
                <w:sz w:val="22"/>
                <w:szCs w:val="22"/>
                <w:rtl w:val="0"/>
              </w:rPr>
              <w:t xml:space="preserve">The existing categorical and numerical fields are retained for Tableau analysis. Useful calculated measures can be created later in Tableau when required for specific visualizations.</w:t>
            </w:r>
            <w:r w:rsidDel="00000000" w:rsidR="00000000" w:rsidRPr="00000000">
              <w:rPr>
                <w:rtl w:val="0"/>
              </w:rPr>
            </w:r>
          </w:p>
        </w:tc>
      </w:tr>
      <w:tr>
        <w:trPr>
          <w:cantSplit w:val="0"/>
          <w:trHeight w:val="1440.9375" w:hRule="atLeast"/>
          <w:tblHeader w:val="0"/>
        </w:trPr>
        <w:tc>
          <w:tcPr>
            <w:vAlign w:val="center"/>
          </w:tcPr>
          <w:p w:rsidR="00000000" w:rsidDel="00000000" w:rsidP="00000000" w:rsidRDefault="00000000" w:rsidRPr="00000000" w14:paraId="00000010">
            <w:pPr>
              <w:spacing w:after="0" w:lineRule="auto"/>
              <w:rPr>
                <w:sz w:val="22"/>
                <w:szCs w:val="22"/>
              </w:rPr>
            </w:pPr>
            <w:r w:rsidDel="00000000" w:rsidR="00000000" w:rsidRPr="00000000">
              <w:rPr>
                <w:rFonts w:ascii="Arial" w:cs="Arial" w:eastAsia="Arial" w:hAnsi="Arial"/>
                <w:b w:val="1"/>
                <w:bCs w:val="1"/>
                <w:sz w:val="22"/>
                <w:szCs w:val="22"/>
                <w:rtl w:val="0"/>
              </w:rPr>
              <w:t xml:space="preserve">Data Type Conversion</w:t>
            </w:r>
            <w:r w:rsidDel="00000000" w:rsidR="00000000" w:rsidRPr="00000000">
              <w:rPr>
                <w:rtl w:val="0"/>
              </w:rPr>
            </w:r>
          </w:p>
        </w:tc>
        <w:tc>
          <w:tcPr>
            <w:vAlign w:val="center"/>
          </w:tcPr>
          <w:p w:rsidR="00000000" w:rsidDel="00000000" w:rsidP="00000000" w:rsidRDefault="00000000" w:rsidRPr="00000000" w14:paraId="00000011">
            <w:pPr>
              <w:spacing w:after="0" w:lineRule="auto"/>
              <w:rPr>
                <w:sz w:val="22"/>
                <w:szCs w:val="22"/>
              </w:rPr>
            </w:pPr>
            <w:r w:rsidDel="00000000" w:rsidR="00000000" w:rsidRPr="00000000">
              <w:rPr>
                <w:rFonts w:ascii="Arial" w:cs="Arial" w:eastAsia="Arial" w:hAnsi="Arial"/>
                <w:sz w:val="22"/>
                <w:szCs w:val="22"/>
                <w:rtl w:val="0"/>
              </w:rPr>
              <w:t xml:space="preserve">Data types were reviewed. Numerical fields are stored as numeric values, while categorical fields are stored as text. Posting year and month are numeric fields and can be used to construct time-based analysis when required.</w:t>
            </w:r>
            <w:r w:rsidDel="00000000" w:rsidR="00000000" w:rsidRPr="00000000">
              <w:rPr>
                <w:rtl w:val="0"/>
              </w:rPr>
            </w:r>
          </w:p>
        </w:tc>
      </w:tr>
      <w:tr>
        <w:trPr>
          <w:cantSplit w:val="0"/>
          <w:trHeight w:val="1125" w:hRule="atLeast"/>
          <w:tblHeader w:val="0"/>
        </w:trPr>
        <w:tc>
          <w:tcPr>
            <w:vAlign w:val="center"/>
          </w:tcPr>
          <w:p w:rsidR="00000000" w:rsidDel="00000000" w:rsidP="00000000" w:rsidRDefault="00000000" w:rsidRPr="00000000" w14:paraId="00000012">
            <w:pPr>
              <w:spacing w:after="0" w:lineRule="auto"/>
              <w:rPr>
                <w:sz w:val="22"/>
                <w:szCs w:val="22"/>
              </w:rPr>
            </w:pPr>
            <w:r w:rsidDel="00000000" w:rsidR="00000000" w:rsidRPr="00000000">
              <w:rPr>
                <w:rFonts w:ascii="Arial" w:cs="Arial" w:eastAsia="Arial" w:hAnsi="Arial"/>
                <w:b w:val="1"/>
                <w:bCs w:val="1"/>
                <w:sz w:val="22"/>
                <w:szCs w:val="22"/>
                <w:rtl w:val="0"/>
              </w:rPr>
              <w:t xml:space="preserve">Column Splitting and Merging</w:t>
            </w:r>
            <w:r w:rsidDel="00000000" w:rsidR="00000000" w:rsidRPr="00000000">
              <w:rPr>
                <w:rtl w:val="0"/>
              </w:rPr>
            </w:r>
          </w:p>
        </w:tc>
        <w:tc>
          <w:tcPr>
            <w:vAlign w:val="center"/>
          </w:tcPr>
          <w:p w:rsidR="00000000" w:rsidDel="00000000" w:rsidP="00000000" w:rsidRDefault="00000000" w:rsidRPr="00000000" w14:paraId="00000013">
            <w:pPr>
              <w:spacing w:after="0" w:lineRule="auto"/>
              <w:rPr>
                <w:sz w:val="22"/>
                <w:szCs w:val="22"/>
              </w:rPr>
            </w:pPr>
            <w:r w:rsidDel="00000000" w:rsidR="00000000" w:rsidRPr="00000000">
              <w:rPr>
                <w:rFonts w:ascii="Arial" w:cs="Arial" w:eastAsia="Arial" w:hAnsi="Arial"/>
                <w:sz w:val="22"/>
                <w:szCs w:val="22"/>
                <w:rtl w:val="0"/>
              </w:rPr>
              <w:t xml:space="preserve">The dataset already contains separate fields for job title, category, city, country, experience, salary, industry, and other major analytical dimensions.</w:t>
            </w:r>
            <w:r w:rsidDel="00000000" w:rsidR="00000000" w:rsidRPr="00000000">
              <w:rPr>
                <w:rtl w:val="0"/>
              </w:rPr>
            </w:r>
          </w:p>
        </w:tc>
      </w:tr>
      <w:tr>
        <w:trPr>
          <w:cantSplit w:val="0"/>
          <w:trHeight w:val="1095" w:hRule="atLeast"/>
          <w:tblHeader w:val="0"/>
        </w:trPr>
        <w:tc>
          <w:tcPr>
            <w:vAlign w:val="center"/>
          </w:tcPr>
          <w:p w:rsidR="00000000" w:rsidDel="00000000" w:rsidP="00000000" w:rsidRDefault="00000000" w:rsidRPr="00000000" w14:paraId="00000014">
            <w:pPr>
              <w:spacing w:after="0" w:lineRule="auto"/>
              <w:rPr>
                <w:sz w:val="22"/>
                <w:szCs w:val="22"/>
              </w:rPr>
            </w:pPr>
            <w:r w:rsidDel="00000000" w:rsidR="00000000" w:rsidRPr="00000000">
              <w:rPr>
                <w:rFonts w:ascii="Arial" w:cs="Arial" w:eastAsia="Arial" w:hAnsi="Arial"/>
                <w:b w:val="1"/>
                <w:bCs w:val="1"/>
                <w:sz w:val="22"/>
                <w:szCs w:val="22"/>
                <w:rtl w:val="0"/>
              </w:rPr>
              <w:t xml:space="preserve">Data Modeling</w:t>
            </w:r>
            <w:r w:rsidDel="00000000" w:rsidR="00000000" w:rsidRPr="00000000">
              <w:rPr>
                <w:rtl w:val="0"/>
              </w:rPr>
            </w:r>
          </w:p>
        </w:tc>
        <w:tc>
          <w:tcPr>
            <w:vAlign w:val="center"/>
          </w:tcPr>
          <w:p w:rsidR="00000000" w:rsidDel="00000000" w:rsidP="00000000" w:rsidRDefault="00000000" w:rsidRPr="00000000" w14:paraId="00000015">
            <w:pPr>
              <w:spacing w:after="0" w:lineRule="auto"/>
              <w:rPr>
                <w:sz w:val="22"/>
                <w:szCs w:val="22"/>
              </w:rPr>
            </w:pPr>
            <w:r w:rsidDel="00000000" w:rsidR="00000000" w:rsidRPr="00000000">
              <w:rPr>
                <w:rFonts w:ascii="Arial" w:cs="Arial" w:eastAsia="Arial" w:hAnsi="Arial"/>
                <w:sz w:val="22"/>
                <w:szCs w:val="22"/>
                <w:rtl w:val="0"/>
              </w:rPr>
              <w:t xml:space="preserve">The dataset is a single flat table, so no table relationships are required. Existing fields can be used directly for Tableau dimensions, measures, filters, and calculated fields.</w:t>
            </w:r>
            <w:r w:rsidDel="00000000" w:rsidR="00000000" w:rsidRPr="00000000">
              <w:rPr>
                <w:rtl w:val="0"/>
              </w:rPr>
            </w:r>
          </w:p>
        </w:tc>
      </w:tr>
      <w:tr>
        <w:trPr>
          <w:cantSplit w:val="0"/>
          <w:trHeight w:val="1125" w:hRule="atLeast"/>
          <w:tblHeader w:val="0"/>
        </w:trPr>
        <w:tc>
          <w:tcPr>
            <w:vAlign w:val="center"/>
          </w:tcPr>
          <w:p w:rsidR="00000000" w:rsidDel="00000000" w:rsidP="00000000" w:rsidRDefault="00000000" w:rsidRPr="00000000" w14:paraId="00000016">
            <w:pPr>
              <w:spacing w:after="0" w:lineRule="auto"/>
              <w:rPr>
                <w:sz w:val="22"/>
                <w:szCs w:val="22"/>
              </w:rPr>
            </w:pPr>
            <w:r w:rsidDel="00000000" w:rsidR="00000000" w:rsidRPr="00000000">
              <w:rPr>
                <w:rFonts w:ascii="Arial" w:cs="Arial" w:eastAsia="Arial" w:hAnsi="Arial"/>
                <w:b w:val="1"/>
                <w:bCs w:val="1"/>
                <w:sz w:val="22"/>
                <w:szCs w:val="22"/>
                <w:rtl w:val="0"/>
              </w:rPr>
              <w:t xml:space="preserve">Save Processed Data</w:t>
            </w:r>
            <w:r w:rsidDel="00000000" w:rsidR="00000000" w:rsidRPr="00000000">
              <w:rPr>
                <w:rtl w:val="0"/>
              </w:rPr>
            </w:r>
          </w:p>
        </w:tc>
        <w:tc>
          <w:tcPr>
            <w:vAlign w:val="center"/>
          </w:tcPr>
          <w:p w:rsidR="00000000" w:rsidDel="00000000" w:rsidP="00000000" w:rsidRDefault="00000000" w:rsidRPr="00000000" w14:paraId="00000017">
            <w:pPr>
              <w:spacing w:after="0" w:lineRule="auto"/>
              <w:rPr>
                <w:sz w:val="22"/>
                <w:szCs w:val="22"/>
              </w:rPr>
            </w:pPr>
            <w:r w:rsidDel="00000000" w:rsidR="00000000" w:rsidRPr="00000000">
              <w:rPr>
                <w:rFonts w:ascii="Arial" w:cs="Arial" w:eastAsia="Arial" w:hAnsi="Arial"/>
                <w:sz w:val="22"/>
                <w:szCs w:val="22"/>
                <w:rtl w:val="0"/>
              </w:rPr>
              <w:t xml:space="preserve">A validated copy of the dataset has been saved for the next stage of Tableau analysis. </w:t>
            </w:r>
            <w:r w:rsidDel="00000000" w:rsidR="00000000" w:rsidRPr="00000000">
              <w:rPr>
                <w:rtl w:val="0"/>
              </w:rPr>
            </w:r>
          </w:p>
        </w:tc>
      </w:tr>
    </w:tbl>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2"/>
          <w:szCs w:val="22"/>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2"/>
          <w:szCs w:val="22"/>
        </w:rPr>
      </w:pP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2"/>
          <w:szCs w:val="22"/>
        </w:rPr>
      </w:pP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2"/>
          <w:szCs w:val="22"/>
        </w:rPr>
      </w:pPr>
      <w:r w:rsidDel="00000000" w:rsidR="00000000" w:rsidRPr="00000000">
        <w:rPr>
          <w:b w:val="1"/>
          <w:bCs w:val="1"/>
          <w:sz w:val="22"/>
          <w:szCs w:val="22"/>
          <w:rtl w:val="0"/>
        </w:rPr>
        <w:t xml:space="preserve">Data Set:</w:t>
      </w:r>
      <w:r w:rsidDel="00000000" w:rsidR="00000000" w:rsidRPr="00000000">
        <w:rPr>
          <w:sz w:val="22"/>
          <w:szCs w:val="22"/>
          <w:rtl w:val="0"/>
        </w:rPr>
        <w:t xml:space="preserve">https://drive.google.com/file/d/18rWhaGZbwtkOa65T4ti7aUuof2LQQZvq/view?usp=sharing</w:t>
      </w:r>
    </w:p>
    <w:sectPr>
      <w:pgSz w:h="15840" w:w="12240" w:orient="portrait"/>
      <w:pgMar w:bottom="792" w:top="792" w:left="936" w:right="936"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18"/>
        <w:szCs w:val="18"/>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yqIHvBDY4WDB3Kn2iX8kbJTh8Ig==">CgMxLjA4AHIhMS1BZlNXTVluSFVTYWtZcEVaaDNLNUo3RU9YY2FjOC1j</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