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7D727" w14:textId="77777777" w:rsidR="005E1D04" w:rsidRPr="005E1D04" w:rsidRDefault="005E1D04" w:rsidP="005E1D0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E1D04">
        <w:rPr>
          <w:rFonts w:ascii="Times New Roman" w:eastAsia="Times New Roman" w:hAnsi="Times New Roman" w:cs="Times New Roman"/>
          <w:b/>
          <w:bCs/>
          <w:color w:val="000000"/>
          <w:kern w:val="36"/>
          <w:sz w:val="48"/>
          <w:szCs w:val="48"/>
          <w14:ligatures w14:val="none"/>
        </w:rPr>
        <w:t>Closing Statement on Behalf of [State] Respondent</w:t>
      </w:r>
    </w:p>
    <w:p w14:paraId="3B35D0D4" w14:textId="77777777" w:rsidR="005E1D04" w:rsidRPr="005E1D04" w:rsidRDefault="005E1D04" w:rsidP="005E1D0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E1D04">
        <w:rPr>
          <w:rFonts w:ascii="Times New Roman" w:eastAsia="Times New Roman" w:hAnsi="Times New Roman" w:cs="Times New Roman"/>
          <w:b/>
          <w:bCs/>
          <w:color w:val="000000"/>
          <w:kern w:val="0"/>
          <w:sz w:val="36"/>
          <w:szCs w:val="36"/>
          <w14:ligatures w14:val="none"/>
        </w:rPr>
        <w:t>Environmental Counterclaim for Oil Contamination Damages</w:t>
      </w:r>
    </w:p>
    <w:p w14:paraId="1A9930CE"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b/>
          <w:bCs/>
          <w:color w:val="000000"/>
          <w:kern w:val="0"/>
          <w14:ligatures w14:val="none"/>
        </w:rPr>
        <w:t>[ICSID Case No. ARB/XX/XX]</w:t>
      </w:r>
      <w:r w:rsidRPr="005E1D04">
        <w:rPr>
          <w:rFonts w:ascii="Times New Roman" w:eastAsia="Times New Roman" w:hAnsi="Times New Roman" w:cs="Times New Roman"/>
          <w:color w:val="000000"/>
          <w:kern w:val="0"/>
          <w14:ligatures w14:val="none"/>
        </w:rPr>
        <w:br/>
      </w:r>
      <w:r w:rsidRPr="005E1D04">
        <w:rPr>
          <w:rFonts w:ascii="Times New Roman" w:eastAsia="Times New Roman" w:hAnsi="Times New Roman" w:cs="Times New Roman"/>
          <w:b/>
          <w:bCs/>
          <w:color w:val="000000"/>
          <w:kern w:val="0"/>
          <w14:ligatures w14:val="none"/>
        </w:rPr>
        <w:t>Quantum Hearing - Day 5</w:t>
      </w:r>
      <w:r w:rsidRPr="005E1D04">
        <w:rPr>
          <w:rFonts w:ascii="Times New Roman" w:eastAsia="Times New Roman" w:hAnsi="Times New Roman" w:cs="Times New Roman"/>
          <w:color w:val="000000"/>
          <w:kern w:val="0"/>
          <w14:ligatures w14:val="none"/>
        </w:rPr>
        <w:br/>
      </w:r>
      <w:r w:rsidRPr="005E1D04">
        <w:rPr>
          <w:rFonts w:ascii="Times New Roman" w:eastAsia="Times New Roman" w:hAnsi="Times New Roman" w:cs="Times New Roman"/>
          <w:b/>
          <w:bCs/>
          <w:color w:val="000000"/>
          <w:kern w:val="0"/>
          <w14:ligatures w14:val="none"/>
        </w:rPr>
        <w:t>[Date]</w:t>
      </w:r>
    </w:p>
    <w:p w14:paraId="01F215DF" w14:textId="77777777" w:rsidR="005E1D04" w:rsidRPr="005E1D04" w:rsidRDefault="004C7BF2" w:rsidP="005E1D04">
      <w:pPr>
        <w:spacing w:after="0" w:line="240" w:lineRule="auto"/>
        <w:rPr>
          <w:rFonts w:ascii="Times New Roman" w:eastAsia="Times New Roman" w:hAnsi="Times New Roman" w:cs="Times New Roman"/>
          <w:kern w:val="0"/>
          <w14:ligatures w14:val="none"/>
        </w:rPr>
      </w:pPr>
      <w:r w:rsidRPr="004C7BF2">
        <w:rPr>
          <w:rFonts w:ascii="Times New Roman" w:eastAsia="Times New Roman" w:hAnsi="Times New Roman" w:cs="Times New Roman"/>
          <w:noProof/>
          <w:kern w:val="0"/>
        </w:rPr>
        <w:pict w14:anchorId="76D865DF">
          <v:rect id="_x0000_i1026" alt="" style="width:468pt;height:.05pt;mso-width-percent:0;mso-height-percent:0;mso-width-percent:0;mso-height-percent:0" o:hralign="center" o:hrstd="t" o:hr="t" fillcolor="#a0a0a0" stroked="f"/>
        </w:pict>
      </w:r>
    </w:p>
    <w:p w14:paraId="3F3DC6FB" w14:textId="77777777" w:rsidR="005E1D04" w:rsidRPr="005E1D04" w:rsidRDefault="005E1D04" w:rsidP="005E1D0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E1D04">
        <w:rPr>
          <w:rFonts w:ascii="Times New Roman" w:eastAsia="Times New Roman" w:hAnsi="Times New Roman" w:cs="Times New Roman"/>
          <w:b/>
          <w:bCs/>
          <w:color w:val="000000"/>
          <w:kern w:val="0"/>
          <w:sz w:val="27"/>
          <w:szCs w:val="27"/>
          <w14:ligatures w14:val="none"/>
        </w:rPr>
        <w:t>Mr President, Members of the Tribunal,</w:t>
      </w:r>
    </w:p>
    <w:p w14:paraId="40076327"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b/>
          <w:bCs/>
          <w:color w:val="000000"/>
          <w:kern w:val="0"/>
          <w14:ligatures w14:val="none"/>
        </w:rPr>
        <w:t>Issue</w:t>
      </w:r>
      <w:r w:rsidRPr="005E1D04">
        <w:rPr>
          <w:rFonts w:ascii="Times New Roman" w:eastAsia="Times New Roman" w:hAnsi="Times New Roman" w:cs="Times New Roman"/>
          <w:color w:val="000000"/>
          <w:kern w:val="0"/>
          <w14:ligatures w14:val="none"/>
        </w:rPr>
        <w:t>: Whether Claimant's oil extraction operations violated environmental standards and caused quantifiable damage requiring compensation under domestic environmental law and international environmental principles.</w:t>
      </w:r>
    </w:p>
    <w:p w14:paraId="7673A316"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b/>
          <w:bCs/>
          <w:color w:val="000000"/>
          <w:kern w:val="0"/>
          <w14:ligatures w14:val="none"/>
        </w:rPr>
        <w:t>Rule</w:t>
      </w:r>
      <w:r w:rsidRPr="005E1D04">
        <w:rPr>
          <w:rFonts w:ascii="Times New Roman" w:eastAsia="Times New Roman" w:hAnsi="Times New Roman" w:cs="Times New Roman"/>
          <w:color w:val="000000"/>
          <w:kern w:val="0"/>
          <w14:ligatures w14:val="none"/>
        </w:rPr>
        <w:t>: Under [State's] Environmental Protection Act Section 12 and constitutional Article 15, operators bear strict liability for environmental contamination. The no-harm principle of customary international law, as confirmed in Trail Smelter, requires prevention of transboundary environmental damage.</w:t>
      </w:r>
    </w:p>
    <w:p w14:paraId="4D446D9D"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b/>
          <w:bCs/>
          <w:color w:val="000000"/>
          <w:kern w:val="0"/>
          <w14:ligatures w14:val="none"/>
        </w:rPr>
        <w:t>Application of Law to Facts</w:t>
      </w:r>
      <w:r w:rsidRPr="005E1D04">
        <w:rPr>
          <w:rFonts w:ascii="Times New Roman" w:eastAsia="Times New Roman" w:hAnsi="Times New Roman" w:cs="Times New Roman"/>
          <w:color w:val="000000"/>
          <w:kern w:val="0"/>
          <w14:ligatures w14:val="none"/>
        </w:rPr>
        <w:t>:</w:t>
      </w:r>
    </w:p>
    <w:p w14:paraId="552E0C28"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b/>
          <w:bCs/>
          <w:color w:val="000000"/>
          <w:kern w:val="0"/>
          <w14:ligatures w14:val="none"/>
        </w:rPr>
        <w:t>Environmental Contamination Evidence</w:t>
      </w:r>
    </w:p>
    <w:p w14:paraId="6295387D"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color w:val="000000"/>
          <w:kern w:val="0"/>
          <w14:ligatures w14:val="none"/>
        </w:rPr>
        <w:t xml:space="preserve">The evidence before this Tribunal demonstrates systematic environmental contamination across 47 documented sites. As confirmed by Dr Martinez, our independent soil specialist, hydrocarbon concentrations exceed regulatory limits by 300-500% at Sites 12, 18, and 23-31. The Tribunal's site inspection on Day 3 of these hearings confirmed visible oil contamination at the </w:t>
      </w:r>
      <w:proofErr w:type="spellStart"/>
      <w:r w:rsidRPr="005E1D04">
        <w:rPr>
          <w:rFonts w:ascii="Times New Roman" w:eastAsia="Times New Roman" w:hAnsi="Times New Roman" w:cs="Times New Roman"/>
          <w:color w:val="000000"/>
          <w:kern w:val="0"/>
          <w14:ligatures w14:val="none"/>
        </w:rPr>
        <w:t>Shushufindi</w:t>
      </w:r>
      <w:proofErr w:type="spellEnd"/>
      <w:r w:rsidRPr="005E1D04">
        <w:rPr>
          <w:rFonts w:ascii="Times New Roman" w:eastAsia="Times New Roman" w:hAnsi="Times New Roman" w:cs="Times New Roman"/>
          <w:color w:val="000000"/>
          <w:kern w:val="0"/>
          <w14:ligatures w14:val="none"/>
        </w:rPr>
        <w:t xml:space="preserve"> facility, exactly as described in our Environmental Impact Assessment dated March 2019.</w:t>
      </w:r>
    </w:p>
    <w:p w14:paraId="11A50B13"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color w:val="000000"/>
          <w:kern w:val="0"/>
          <w14:ligatures w14:val="none"/>
        </w:rPr>
        <w:t>Claimant's expert, Dr Richardson, acknowledged under cross-examination that Claimant's own environmental monitoring reports from 2018-2020 recorded Total Petroleum Hydrocarbon levels of 15,000-25,000 mg/kg - well above our domestic limit of 1,000 mg/kg established under Environmental Regulation 1215.</w:t>
      </w:r>
    </w:p>
    <w:p w14:paraId="03A68E74"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b/>
          <w:bCs/>
          <w:color w:val="000000"/>
          <w:kern w:val="0"/>
          <w14:ligatures w14:val="none"/>
        </w:rPr>
        <w:t>Causation Chain</w:t>
      </w:r>
    </w:p>
    <w:p w14:paraId="27B3B49C"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color w:val="000000"/>
          <w:kern w:val="0"/>
          <w14:ligatures w14:val="none"/>
        </w:rPr>
        <w:t xml:space="preserve">The chronological evidence establishes direct causation. Background soil samples from 2016, before Claimant's operations commenced, showed TPH levels of 45-120 mg/kg. Post-operation samples from identical locations now measure 15,000+ mg/kg. Dr Chen's groundwater analysis </w:t>
      </w:r>
      <w:r w:rsidRPr="005E1D04">
        <w:rPr>
          <w:rFonts w:ascii="Times New Roman" w:eastAsia="Times New Roman" w:hAnsi="Times New Roman" w:cs="Times New Roman"/>
          <w:color w:val="000000"/>
          <w:kern w:val="0"/>
          <w14:ligatures w14:val="none"/>
        </w:rPr>
        <w:lastRenderedPageBreak/>
        <w:t>confirms the contamination plume extends 2.3 kilometres downstream, affecting three indigenous communities' water sources.</w:t>
      </w:r>
    </w:p>
    <w:p w14:paraId="34248E8D"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color w:val="000000"/>
          <w:kern w:val="0"/>
          <w14:ligatures w14:val="none"/>
        </w:rPr>
        <w:t>Claimant argues multiple causation, citing prior operators. However, the geological evidence contradicts this. As Professor Williams testified, the contamination signature matches Claimant's crude oil specifications, not the heavier crude previously extracted. The isotopic analysis in Exhibit R-45 confirms this conclusion.</w:t>
      </w:r>
    </w:p>
    <w:p w14:paraId="797D94CE"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b/>
          <w:bCs/>
          <w:color w:val="000000"/>
          <w:kern w:val="0"/>
          <w14:ligatures w14:val="none"/>
        </w:rPr>
        <w:t>Quantification of Environmental Damages</w:t>
      </w:r>
    </w:p>
    <w:p w14:paraId="61C29E04"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color w:val="000000"/>
          <w:kern w:val="0"/>
          <w14:ligatures w14:val="none"/>
        </w:rPr>
        <w:t>We seek USD 68.2 million in environmental remediation costs, calculated using internationally accepted methodologies:</w:t>
      </w:r>
    </w:p>
    <w:p w14:paraId="0234F0F9"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b/>
          <w:bCs/>
          <w:color w:val="000000"/>
          <w:kern w:val="0"/>
          <w14:ligatures w14:val="none"/>
        </w:rPr>
        <w:t>Soil Remediation</w:t>
      </w:r>
      <w:r w:rsidRPr="005E1D04">
        <w:rPr>
          <w:rFonts w:ascii="Times New Roman" w:eastAsia="Times New Roman" w:hAnsi="Times New Roman" w:cs="Times New Roman"/>
          <w:color w:val="000000"/>
          <w:kern w:val="0"/>
          <w14:ligatures w14:val="none"/>
        </w:rPr>
        <w:t xml:space="preserve">: USD 45.8 million for ex-situ bioremediation of 850,000 cubic metres of contaminated soil, based on EPA-approved unit costs of USD 54 per cubic metre, as confirmed by remediation contractor </w:t>
      </w:r>
      <w:proofErr w:type="spellStart"/>
      <w:r w:rsidRPr="005E1D04">
        <w:rPr>
          <w:rFonts w:ascii="Times New Roman" w:eastAsia="Times New Roman" w:hAnsi="Times New Roman" w:cs="Times New Roman"/>
          <w:color w:val="000000"/>
          <w:kern w:val="0"/>
          <w14:ligatures w14:val="none"/>
        </w:rPr>
        <w:t>GeoClean's</w:t>
      </w:r>
      <w:proofErr w:type="spellEnd"/>
      <w:r w:rsidRPr="005E1D04">
        <w:rPr>
          <w:rFonts w:ascii="Times New Roman" w:eastAsia="Times New Roman" w:hAnsi="Times New Roman" w:cs="Times New Roman"/>
          <w:color w:val="000000"/>
          <w:kern w:val="0"/>
          <w14:ligatures w14:val="none"/>
        </w:rPr>
        <w:t xml:space="preserve"> binding estimate (Exhibit R-67).</w:t>
      </w:r>
    </w:p>
    <w:p w14:paraId="440D3B0D"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b/>
          <w:bCs/>
          <w:color w:val="000000"/>
          <w:kern w:val="0"/>
          <w14:ligatures w14:val="none"/>
        </w:rPr>
        <w:t>Groundwater Treatment</w:t>
      </w:r>
      <w:r w:rsidRPr="005E1D04">
        <w:rPr>
          <w:rFonts w:ascii="Times New Roman" w:eastAsia="Times New Roman" w:hAnsi="Times New Roman" w:cs="Times New Roman"/>
          <w:color w:val="000000"/>
          <w:kern w:val="0"/>
          <w14:ligatures w14:val="none"/>
        </w:rPr>
        <w:t>: USD 12.4 million for pump-and-treat systems over 15 years, following Dutch contaminated land guidance methodology applied in the Chevron Ecuador case, adjusted for local hydrogeological conditions per Dr Ahmed's hydrogeological study.</w:t>
      </w:r>
    </w:p>
    <w:p w14:paraId="4A9F3D36"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b/>
          <w:bCs/>
          <w:color w:val="000000"/>
          <w:kern w:val="0"/>
          <w14:ligatures w14:val="none"/>
        </w:rPr>
        <w:t>Ecosystem Services Loss</w:t>
      </w:r>
      <w:r w:rsidRPr="005E1D04">
        <w:rPr>
          <w:rFonts w:ascii="Times New Roman" w:eastAsia="Times New Roman" w:hAnsi="Times New Roman" w:cs="Times New Roman"/>
          <w:color w:val="000000"/>
          <w:kern w:val="0"/>
          <w14:ligatures w14:val="none"/>
        </w:rPr>
        <w:t>: USD 10 million representing lost ecological services during 8-year remediation period, calculated using Total Economic Value methodology from Costa Rica v Nicaragua (ICJ 2018), applied to affected forest ecosystem covering 1,200 hectares.</w:t>
      </w:r>
    </w:p>
    <w:p w14:paraId="59FC2924"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b/>
          <w:bCs/>
          <w:color w:val="000000"/>
          <w:kern w:val="0"/>
          <w14:ligatures w14:val="none"/>
        </w:rPr>
        <w:t>Rejection of Claimant's Valuation</w:t>
      </w:r>
    </w:p>
    <w:p w14:paraId="39C332D4"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color w:val="000000"/>
          <w:kern w:val="0"/>
          <w14:ligatures w14:val="none"/>
        </w:rPr>
        <w:t>Claimant's expert Dr Peterson proposes only USD 8.5 million using "risk-based corrective action" - essentially leaving contamination in place with monitoring. This approach violates our Constitutional right to healthy environment under Article 15 and contradicts this Tribunal's decision in Perenco v Ecuador, which rejected minimal cleanup approaches.</w:t>
      </w:r>
    </w:p>
    <w:p w14:paraId="1081C64F"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color w:val="000000"/>
          <w:kern w:val="0"/>
          <w14:ligatures w14:val="none"/>
        </w:rPr>
        <w:t>Dr Peterson's assumptions are flawed. His proposed TPH cleanup standard of 5,000 mg/kg exceeds our regulatory limit by 500% and ignores groundwater protection requirements. His "institutional controls" proposal - restricting land use rather than cleaning contamination - effectively expropriates indigenous communities' ancestral lands.</w:t>
      </w:r>
    </w:p>
    <w:p w14:paraId="5DA18FA0"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b/>
          <w:bCs/>
          <w:color w:val="000000"/>
          <w:kern w:val="0"/>
          <w14:ligatures w14:val="none"/>
        </w:rPr>
        <w:t>Legal Framework for Environmental Liability</w:t>
      </w:r>
    </w:p>
    <w:p w14:paraId="1A0FDF8B"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color w:val="000000"/>
          <w:kern w:val="0"/>
          <w14:ligatures w14:val="none"/>
        </w:rPr>
        <w:t>Our 2008 Constitution, Article 15, establishes strict liability for environmental damage. This is not expropriation requiring compensation - it is legitimate environmental regulation. As held in Philip Morris v Uruguay, states' regulatory authority includes environmental protection measures that limit private property rights.</w:t>
      </w:r>
    </w:p>
    <w:p w14:paraId="6DFF98FB"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color w:val="000000"/>
          <w:kern w:val="0"/>
          <w14:ligatures w14:val="none"/>
        </w:rPr>
        <w:lastRenderedPageBreak/>
        <w:t xml:space="preserve">The precautionary principle, recognized in Stockholm Declaration Principle 15 and our domestic Environmental Management Act, requires cleanup to prevent future harm. The evidence shows ongoing contamination migration threatening the </w:t>
      </w:r>
      <w:proofErr w:type="spellStart"/>
      <w:r w:rsidRPr="005E1D04">
        <w:rPr>
          <w:rFonts w:ascii="Times New Roman" w:eastAsia="Times New Roman" w:hAnsi="Times New Roman" w:cs="Times New Roman"/>
          <w:color w:val="000000"/>
          <w:kern w:val="0"/>
          <w14:ligatures w14:val="none"/>
        </w:rPr>
        <w:t>Aguarico</w:t>
      </w:r>
      <w:proofErr w:type="spellEnd"/>
      <w:r w:rsidRPr="005E1D04">
        <w:rPr>
          <w:rFonts w:ascii="Times New Roman" w:eastAsia="Times New Roman" w:hAnsi="Times New Roman" w:cs="Times New Roman"/>
          <w:color w:val="000000"/>
          <w:kern w:val="0"/>
          <w14:ligatures w14:val="none"/>
        </w:rPr>
        <w:t xml:space="preserve"> River watershed.</w:t>
      </w:r>
    </w:p>
    <w:p w14:paraId="019CCBF3"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b/>
          <w:bCs/>
          <w:color w:val="000000"/>
          <w:kern w:val="0"/>
          <w14:ligatures w14:val="none"/>
        </w:rPr>
        <w:t>International Law Supports Environmental Protection</w:t>
      </w:r>
    </w:p>
    <w:p w14:paraId="7748D901"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color w:val="000000"/>
          <w:kern w:val="0"/>
          <w14:ligatures w14:val="none"/>
        </w:rPr>
        <w:t>Claimant incorrectly argues that environmental counterclaims exceed this Tribunal's jurisdiction. However, ICSID Convention Article 46 grants jurisdiction over ancillary claims. Environmental damage claims are directly connected to the investment dispute, as confirmed in Burlington Resources v Ecuador and Urbaser v Argentina.</w:t>
      </w:r>
    </w:p>
    <w:p w14:paraId="40B9F041"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color w:val="000000"/>
          <w:kern w:val="0"/>
          <w14:ligatures w14:val="none"/>
        </w:rPr>
        <w:t>The polluter pays principle, established in OECD recommendations and EU Treaty Article 191, supports imposing cleanup costs on operators causing contamination. This principle applies regardless of whether contamination was intentional.</w:t>
      </w:r>
    </w:p>
    <w:p w14:paraId="3842BA6A"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b/>
          <w:bCs/>
          <w:color w:val="000000"/>
          <w:kern w:val="0"/>
          <w14:ligatures w14:val="none"/>
        </w:rPr>
        <w:t>Conclusion</w:t>
      </w:r>
      <w:r w:rsidRPr="005E1D04">
        <w:rPr>
          <w:rFonts w:ascii="Times New Roman" w:eastAsia="Times New Roman" w:hAnsi="Times New Roman" w:cs="Times New Roman"/>
          <w:color w:val="000000"/>
          <w:kern w:val="0"/>
          <w14:ligatures w14:val="none"/>
        </w:rPr>
        <w:t>:</w:t>
      </w:r>
    </w:p>
    <w:p w14:paraId="72F65550"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color w:val="000000"/>
          <w:kern w:val="0"/>
          <w14:ligatures w14:val="none"/>
        </w:rPr>
        <w:t>The evidence overwhelmingly proves Claimant caused extensive environmental contamination through substandard operational practices. Our requested remediation approach follows internationally accepted environmental engineering standards and respects constitutional environmental rights.</w:t>
      </w:r>
    </w:p>
    <w:p w14:paraId="6F33D1F9"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color w:val="000000"/>
          <w:kern w:val="0"/>
          <w14:ligatures w14:val="none"/>
        </w:rPr>
        <w:t>We respectfully request the Tribunal award USD 68.2 million in environmental damages, plus interest at 5% annually from the date contamination was discovered. This award will enable complete environmental restoration and vindicate our citizens' constitutional right to a healthy environment.</w:t>
      </w:r>
    </w:p>
    <w:p w14:paraId="320B3DA9"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color w:val="000000"/>
          <w:kern w:val="0"/>
          <w14:ligatures w14:val="none"/>
        </w:rPr>
        <w:t>The choice before this Tribunal is clear: endorse meaningful environmental accountability, or permit foreign investors to externalize environmental costs onto local communities. International law and fundamental fairness demand the former.</w:t>
      </w:r>
    </w:p>
    <w:p w14:paraId="74494E23"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color w:val="000000"/>
          <w:kern w:val="0"/>
          <w14:ligatures w14:val="none"/>
        </w:rPr>
        <w:t>Thank you, Mr President.</w:t>
      </w:r>
    </w:p>
    <w:p w14:paraId="3B479B70" w14:textId="77777777" w:rsidR="005E1D04" w:rsidRPr="005E1D04" w:rsidRDefault="004C7BF2" w:rsidP="005E1D04">
      <w:pPr>
        <w:spacing w:after="0" w:line="240" w:lineRule="auto"/>
        <w:rPr>
          <w:rFonts w:ascii="Times New Roman" w:eastAsia="Times New Roman" w:hAnsi="Times New Roman" w:cs="Times New Roman"/>
          <w:kern w:val="0"/>
          <w14:ligatures w14:val="none"/>
        </w:rPr>
      </w:pPr>
      <w:r w:rsidRPr="004C7BF2">
        <w:rPr>
          <w:rFonts w:ascii="Times New Roman" w:eastAsia="Times New Roman" w:hAnsi="Times New Roman" w:cs="Times New Roman"/>
          <w:noProof/>
          <w:kern w:val="0"/>
        </w:rPr>
        <w:pict w14:anchorId="66C912EC">
          <v:rect id="_x0000_i1025" alt="" style="width:468pt;height:.05pt;mso-width-percent:0;mso-height-percent:0;mso-width-percent:0;mso-height-percent:0" o:hralign="center" o:hrstd="t" o:hr="t" fillcolor="#a0a0a0" stroked="f"/>
        </w:pict>
      </w:r>
    </w:p>
    <w:p w14:paraId="4522E1CB" w14:textId="77777777" w:rsidR="005E1D04" w:rsidRPr="005E1D04" w:rsidRDefault="005E1D04" w:rsidP="005E1D04">
      <w:pPr>
        <w:spacing w:before="100" w:beforeAutospacing="1" w:after="100" w:afterAutospacing="1" w:line="240" w:lineRule="auto"/>
        <w:rPr>
          <w:rFonts w:ascii="Times New Roman" w:eastAsia="Times New Roman" w:hAnsi="Times New Roman" w:cs="Times New Roman"/>
          <w:color w:val="000000"/>
          <w:kern w:val="0"/>
          <w14:ligatures w14:val="none"/>
        </w:rPr>
      </w:pPr>
      <w:r w:rsidRPr="005E1D04">
        <w:rPr>
          <w:rFonts w:ascii="Times New Roman" w:eastAsia="Times New Roman" w:hAnsi="Times New Roman" w:cs="Times New Roman"/>
          <w:b/>
          <w:bCs/>
          <w:color w:val="000000"/>
          <w:kern w:val="0"/>
          <w14:ligatures w14:val="none"/>
        </w:rPr>
        <w:t>[Counsel Name]</w:t>
      </w:r>
      <w:r w:rsidRPr="005E1D04">
        <w:rPr>
          <w:rFonts w:ascii="Times New Roman" w:eastAsia="Times New Roman" w:hAnsi="Times New Roman" w:cs="Times New Roman"/>
          <w:color w:val="000000"/>
          <w:kern w:val="0"/>
          <w14:ligatures w14:val="none"/>
        </w:rPr>
        <w:br/>
      </w:r>
      <w:r w:rsidRPr="005E1D04">
        <w:rPr>
          <w:rFonts w:ascii="Times New Roman" w:eastAsia="Times New Roman" w:hAnsi="Times New Roman" w:cs="Times New Roman"/>
          <w:b/>
          <w:bCs/>
          <w:color w:val="000000"/>
          <w:kern w:val="0"/>
          <w14:ligatures w14:val="none"/>
        </w:rPr>
        <w:t>Attorney for [State] Respondent</w:t>
      </w:r>
      <w:r w:rsidRPr="005E1D04">
        <w:rPr>
          <w:rFonts w:ascii="Times New Roman" w:eastAsia="Times New Roman" w:hAnsi="Times New Roman" w:cs="Times New Roman"/>
          <w:color w:val="000000"/>
          <w:kern w:val="0"/>
          <w14:ligatures w14:val="none"/>
        </w:rPr>
        <w:br/>
      </w:r>
      <w:r w:rsidRPr="005E1D04">
        <w:rPr>
          <w:rFonts w:ascii="Times New Roman" w:eastAsia="Times New Roman" w:hAnsi="Times New Roman" w:cs="Times New Roman"/>
          <w:b/>
          <w:bCs/>
          <w:color w:val="000000"/>
          <w:kern w:val="0"/>
          <w14:ligatures w14:val="none"/>
        </w:rPr>
        <w:t>[Date]</w:t>
      </w:r>
    </w:p>
    <w:p w14:paraId="01CF034E" w14:textId="77777777" w:rsidR="00B952A9" w:rsidRPr="005E1D04" w:rsidRDefault="00B952A9" w:rsidP="005E1D04"/>
    <w:sectPr w:rsidR="00B952A9" w:rsidRPr="005E1D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04"/>
    <w:rsid w:val="000B77D0"/>
    <w:rsid w:val="001B6282"/>
    <w:rsid w:val="004C7BF2"/>
    <w:rsid w:val="005E1D04"/>
    <w:rsid w:val="00657B5C"/>
    <w:rsid w:val="00AF25EF"/>
    <w:rsid w:val="00B345CB"/>
    <w:rsid w:val="00B952A9"/>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85AA"/>
  <w15:chartTrackingRefBased/>
  <w15:docId w15:val="{AAA7537E-7218-6747-8882-752F3D13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D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1D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1D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D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D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D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D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D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D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D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1D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1D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D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D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D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D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D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D04"/>
    <w:rPr>
      <w:rFonts w:eastAsiaTheme="majorEastAsia" w:cstheme="majorBidi"/>
      <w:color w:val="272727" w:themeColor="text1" w:themeTint="D8"/>
    </w:rPr>
  </w:style>
  <w:style w:type="paragraph" w:styleId="Title">
    <w:name w:val="Title"/>
    <w:basedOn w:val="Normal"/>
    <w:next w:val="Normal"/>
    <w:link w:val="TitleChar"/>
    <w:uiPriority w:val="10"/>
    <w:qFormat/>
    <w:rsid w:val="005E1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D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D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D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D04"/>
    <w:pPr>
      <w:spacing w:before="160"/>
      <w:jc w:val="center"/>
    </w:pPr>
    <w:rPr>
      <w:i/>
      <w:iCs/>
      <w:color w:val="404040" w:themeColor="text1" w:themeTint="BF"/>
    </w:rPr>
  </w:style>
  <w:style w:type="character" w:customStyle="1" w:styleId="QuoteChar">
    <w:name w:val="Quote Char"/>
    <w:basedOn w:val="DefaultParagraphFont"/>
    <w:link w:val="Quote"/>
    <w:uiPriority w:val="29"/>
    <w:rsid w:val="005E1D04"/>
    <w:rPr>
      <w:i/>
      <w:iCs/>
      <w:color w:val="404040" w:themeColor="text1" w:themeTint="BF"/>
    </w:rPr>
  </w:style>
  <w:style w:type="paragraph" w:styleId="ListParagraph">
    <w:name w:val="List Paragraph"/>
    <w:basedOn w:val="Normal"/>
    <w:uiPriority w:val="34"/>
    <w:qFormat/>
    <w:rsid w:val="005E1D04"/>
    <w:pPr>
      <w:ind w:left="720"/>
      <w:contextualSpacing/>
    </w:pPr>
  </w:style>
  <w:style w:type="character" w:styleId="IntenseEmphasis">
    <w:name w:val="Intense Emphasis"/>
    <w:basedOn w:val="DefaultParagraphFont"/>
    <w:uiPriority w:val="21"/>
    <w:qFormat/>
    <w:rsid w:val="005E1D04"/>
    <w:rPr>
      <w:i/>
      <w:iCs/>
      <w:color w:val="0F4761" w:themeColor="accent1" w:themeShade="BF"/>
    </w:rPr>
  </w:style>
  <w:style w:type="paragraph" w:styleId="IntenseQuote">
    <w:name w:val="Intense Quote"/>
    <w:basedOn w:val="Normal"/>
    <w:next w:val="Normal"/>
    <w:link w:val="IntenseQuoteChar"/>
    <w:uiPriority w:val="30"/>
    <w:qFormat/>
    <w:rsid w:val="005E1D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D04"/>
    <w:rPr>
      <w:i/>
      <w:iCs/>
      <w:color w:val="0F4761" w:themeColor="accent1" w:themeShade="BF"/>
    </w:rPr>
  </w:style>
  <w:style w:type="character" w:styleId="IntenseReference">
    <w:name w:val="Intense Reference"/>
    <w:basedOn w:val="DefaultParagraphFont"/>
    <w:uiPriority w:val="32"/>
    <w:qFormat/>
    <w:rsid w:val="005E1D04"/>
    <w:rPr>
      <w:b/>
      <w:bCs/>
      <w:smallCaps/>
      <w:color w:val="0F4761" w:themeColor="accent1" w:themeShade="BF"/>
      <w:spacing w:val="5"/>
    </w:rPr>
  </w:style>
  <w:style w:type="paragraph" w:customStyle="1" w:styleId="whitespace-normal">
    <w:name w:val="whitespace-normal"/>
    <w:basedOn w:val="Normal"/>
    <w:rsid w:val="005E1D0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E1D04"/>
    <w:rPr>
      <w:b/>
      <w:bCs/>
    </w:rPr>
  </w:style>
  <w:style w:type="paragraph" w:styleId="NormalWeb">
    <w:name w:val="Normal (Web)"/>
    <w:basedOn w:val="Normal"/>
    <w:uiPriority w:val="99"/>
    <w:semiHidden/>
    <w:unhideWhenUsed/>
    <w:rsid w:val="005E1D0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TENG Jun Hao</dc:creator>
  <cp:keywords/>
  <dc:description/>
  <cp:lastModifiedBy>Jamison TENG Jun Hao</cp:lastModifiedBy>
  <cp:revision>1</cp:revision>
  <dcterms:created xsi:type="dcterms:W3CDTF">2025-09-13T09:05:00Z</dcterms:created>
  <dcterms:modified xsi:type="dcterms:W3CDTF">2025-09-13T09:06:00Z</dcterms:modified>
</cp:coreProperties>
</file>