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D11D86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4C0E53C6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5B005B8C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                      </w:t>
      </w: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2532380" cy="1624965"/>
            <wp:effectExtent l="0" t="0" r="7620" b="635"/>
            <wp:docPr id="3" name="Picture 3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ictur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BEE2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 xml:space="preserve">                 COLLEGE OF INFORMATICS</w:t>
      </w:r>
    </w:p>
    <w:p w14:paraId="71D50CD0">
      <w:pPr>
        <w:numPr>
          <w:ilvl w:val="0"/>
          <w:numId w:val="0"/>
        </w:numPr>
        <w:ind w:firstLine="1121" w:firstLineChars="35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DEPARTEMENT OF COMPUTER SCIENCE</w:t>
      </w:r>
    </w:p>
    <w:p w14:paraId="45ED7235">
      <w:pPr>
        <w:numPr>
          <w:ilvl w:val="0"/>
          <w:numId w:val="0"/>
        </w:numPr>
        <w:ind w:firstLine="7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DATA COMMUNICATION AND COMPUTER NETWORK</w:t>
      </w:r>
    </w:p>
    <w:p w14:paraId="5053DF23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55D0D434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1A3BE62E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7ACC02E8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6DB7222C"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NAME                                                                            ID</w:t>
      </w:r>
    </w:p>
    <w:p w14:paraId="2221F1FE">
      <w:pPr>
        <w:numPr>
          <w:ilvl w:val="0"/>
          <w:numId w:val="1"/>
        </w:numPr>
        <w:spacing w:line="360" w:lineRule="auto"/>
        <w:ind w:left="0" w:leftChars="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Zelalem Gizachew                                        GUR/00972/16</w:t>
      </w:r>
    </w:p>
    <w:p w14:paraId="1DB8524C">
      <w:pPr>
        <w:numPr>
          <w:ilvl w:val="0"/>
          <w:numId w:val="1"/>
        </w:numPr>
        <w:spacing w:line="360" w:lineRule="auto"/>
        <w:ind w:left="0" w:leftChars="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Dagmawi mitiku                                           GUR/01039/16</w:t>
      </w:r>
    </w:p>
    <w:p w14:paraId="65F8A1BE">
      <w:pPr>
        <w:numPr>
          <w:ilvl w:val="0"/>
          <w:numId w:val="1"/>
        </w:numPr>
        <w:spacing w:line="360" w:lineRule="auto"/>
        <w:ind w:left="0" w:leftChars="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Tewodros Kassahun                                    GUR/01343/16</w:t>
      </w:r>
    </w:p>
    <w:p w14:paraId="6B2F1E28">
      <w:pPr>
        <w:numPr>
          <w:ilvl w:val="0"/>
          <w:numId w:val="1"/>
        </w:numPr>
        <w:spacing w:line="360" w:lineRule="auto"/>
        <w:ind w:left="0" w:leftChars="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Biruk Afera                                                    GUR/01037/16</w:t>
      </w:r>
    </w:p>
    <w:p w14:paraId="3A0D3FA9">
      <w:pPr>
        <w:numPr>
          <w:ilvl w:val="0"/>
          <w:numId w:val="1"/>
        </w:numPr>
        <w:spacing w:line="360" w:lineRule="auto"/>
        <w:ind w:left="0" w:leftChars="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Habtamu Amare                                           GUR/03105/16</w:t>
      </w:r>
    </w:p>
    <w:p w14:paraId="4131643D">
      <w:pPr>
        <w:spacing w:line="360" w:lineRule="auto"/>
        <w:rPr>
          <w:rFonts w:hint="default"/>
          <w:b w:val="0"/>
          <w:bCs w:val="0"/>
          <w:sz w:val="32"/>
          <w:szCs w:val="32"/>
          <w:lang w:val="en-US"/>
        </w:rPr>
      </w:pPr>
    </w:p>
    <w:p w14:paraId="3C8F2F85">
      <w:pPr>
        <w:spacing w:line="360" w:lineRule="auto"/>
        <w:ind w:firstLine="480" w:firstLineChars="150"/>
        <w:rPr>
          <w:rFonts w:hint="default"/>
          <w:b/>
          <w:bCs/>
          <w:sz w:val="32"/>
          <w:szCs w:val="32"/>
          <w:lang w:val="en-US" w:eastAsia="zh-CN"/>
        </w:rPr>
      </w:pPr>
    </w:p>
    <w:p w14:paraId="05966F21">
      <w:pPr>
        <w:spacing w:line="360" w:lineRule="auto"/>
        <w:ind w:firstLine="480" w:firstLineChars="150"/>
        <w:rPr>
          <w:rFonts w:hint="default"/>
          <w:b/>
          <w:bCs/>
          <w:sz w:val="32"/>
          <w:szCs w:val="32"/>
          <w:lang w:val="en-US" w:eastAsia="zh-CN"/>
        </w:rPr>
      </w:pPr>
    </w:p>
    <w:p w14:paraId="0047A817">
      <w:pPr>
        <w:spacing w:line="360" w:lineRule="auto"/>
        <w:ind w:firstLine="480" w:firstLineChars="150"/>
        <w:rPr>
          <w:rFonts w:hint="default"/>
          <w:b/>
          <w:bCs/>
          <w:sz w:val="32"/>
          <w:szCs w:val="32"/>
          <w:lang w:val="en-US" w:eastAsia="zh-CN"/>
        </w:rPr>
      </w:pPr>
    </w:p>
    <w:p w14:paraId="1C3DE8F9">
      <w:pPr>
        <w:spacing w:line="360" w:lineRule="auto"/>
        <w:ind w:firstLine="480" w:firstLineChars="150"/>
        <w:rPr>
          <w:rFonts w:hint="default"/>
          <w:b/>
          <w:bCs/>
          <w:sz w:val="32"/>
          <w:szCs w:val="32"/>
          <w:lang w:val="en-US" w:eastAsia="zh-CN"/>
        </w:rPr>
      </w:pPr>
    </w:p>
    <w:p w14:paraId="350CC5F8">
      <w:pPr>
        <w:spacing w:line="360" w:lineRule="auto"/>
        <w:ind w:firstLine="480" w:firstLineChars="150"/>
        <w:rPr>
          <w:rFonts w:hint="default"/>
          <w:b/>
          <w:bCs/>
          <w:sz w:val="32"/>
          <w:szCs w:val="32"/>
          <w:lang w:val="en-US" w:eastAsia="zh-CN"/>
        </w:rPr>
      </w:pPr>
    </w:p>
    <w:p w14:paraId="6600DB61">
      <w:pPr>
        <w:spacing w:line="360" w:lineRule="auto"/>
        <w:ind w:firstLine="480" w:firstLineChars="150"/>
        <w:rPr>
          <w:rFonts w:hint="default"/>
          <w:b/>
          <w:bCs/>
          <w:sz w:val="32"/>
          <w:szCs w:val="32"/>
          <w:lang w:val="en-US" w:eastAsia="zh-CN"/>
        </w:rPr>
      </w:pPr>
      <w:bookmarkStart w:id="0" w:name="_GoBack"/>
      <w:bookmarkEnd w:id="0"/>
    </w:p>
    <w:p w14:paraId="4444E95D">
      <w:pPr>
        <w:spacing w:line="360" w:lineRule="auto"/>
        <w:ind w:firstLine="480" w:firstLineChars="150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 xml:space="preserve">University of Gondar ICT Infrastructure Simulation </w:t>
      </w:r>
    </w:p>
    <w:p w14:paraId="4070748A">
      <w:pPr>
        <w:spacing w:line="360" w:lineRule="auto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 xml:space="preserve">Cisco Packet Tracer Network Design &amp; Simulation Report </w:t>
      </w:r>
    </w:p>
    <w:p w14:paraId="7E5EB372">
      <w:pPr>
        <w:rPr>
          <w:b/>
          <w:bCs/>
          <w:sz w:val="28"/>
          <w:szCs w:val="28"/>
          <w:lang w:val="en-US" w:eastAsia="zh-CN"/>
        </w:rPr>
      </w:pPr>
    </w:p>
    <w:p w14:paraId="4EFD83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eastAsia="zh-CN"/>
        </w:rPr>
        <w:t>Network Design &amp; IP Addressing</w:t>
      </w:r>
    </w:p>
    <w:p w14:paraId="15A3A9DA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1F531441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ascii="Helvetica" w:hAnsi="Helvetica" w:eastAsia="Helvetica" w:cs="Helvetica"/>
          <w:b/>
          <w:bCs/>
          <w:color w:val="000000"/>
          <w:kern w:val="0"/>
          <w:sz w:val="24"/>
          <w:szCs w:val="24"/>
          <w:lang w:val="en-US" w:eastAsia="zh-CN" w:bidi="ar"/>
        </w:rPr>
        <w:t>VLAN Division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 w14:paraId="71CFBE6B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we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 segmented the campus network using function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and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location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based VLANs to both contain broadcast domains and enforce policy separation. Specifically, on each of the four main sites (Atse Tewodros, Atse Fasil, Maraki, Tseda</w:t>
      </w: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,Hospital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) we provisioned these VLAN IDs and purposes:</w:t>
      </w:r>
    </w:p>
    <w:p w14:paraId="71BE6F25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VLAN 10 – Administration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All administrative offices and management systems.</w:t>
      </w:r>
    </w:p>
    <w:p w14:paraId="5B3EED73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VLAN 20 – Students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Student labs, dorm access points, and general student workstations.</w:t>
      </w:r>
    </w:p>
    <w:p w14:paraId="5ADAD6F9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VLAN 30 – Staff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Faculty and staff desktops, printers, and shared resources.</w:t>
      </w:r>
    </w:p>
    <w:p w14:paraId="6B61EEF8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VLAN 40 – Library &amp; E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learning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Library computers, digital repositories, and e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learning platforms.</w:t>
      </w:r>
    </w:p>
    <w:p w14:paraId="5756A140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VLAN 50 – Security (CCTV/Access Control)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IP cameras, door controllers, and other physical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security gear.</w:t>
      </w:r>
    </w:p>
    <w:p w14:paraId="120DD074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VLAN 60 – VoIP</w:t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br w:type="textWrapping"/>
      </w: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IP phones and voice gateways.</w:t>
      </w:r>
    </w:p>
    <w:p w14:paraId="71FA737B">
      <w:pPr>
        <w:keepNext w:val="0"/>
        <w:keepLines w:val="0"/>
        <w:widowControl/>
        <w:suppressLineNumbers w:val="0"/>
        <w:spacing w:line="360" w:lineRule="auto"/>
        <w:jc w:val="left"/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By repeating this consistent scheme at each campus and mapping each VLAN into its own IP subnet (e.g. 10.10.0.0/22 for Atse Tewodros, with .0 = VLAN 10, .64 = VLAN 20, etc.), we achieve logical isolation, easier troubleshooting, and centralized policy enforcement.</w:t>
      </w:r>
    </w:p>
    <w:p w14:paraId="74C664C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This division ensures better traffic management </w:t>
      </w: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and enhanced security. </w:t>
      </w:r>
    </w:p>
    <w:p w14:paraId="72AC4363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1135" cy="2466340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5BA4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  <w:t>A</w:t>
      </w:r>
      <w:r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  <w:t>ssign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  <w:t>ing</w:t>
      </w:r>
      <w:r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IP addresses and gateways to each segment.</w:t>
      </w:r>
    </w:p>
    <w:p w14:paraId="5B9666FB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For each campus we carved out a “/22” block and then sliced it into six equal VLAN subnets, reserving the first usable address in each for the router</w:t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on</w:t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a</w:t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stick gateway. Here’s the pattern we applied on every site (Atse Tewodros: 10.10.0.0/22, Atse Fasil: 10.10.4.0/22, Maraki: 10.10.8.0/22, Tseda: 10.10.12.0/22):</w:t>
      </w:r>
    </w:p>
    <w:p w14:paraId="73596CD2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DC4388A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CC195EE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5E5A2F72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85C38CB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0D74C37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6"/>
        <w:gridCol w:w="1452"/>
        <w:gridCol w:w="1673"/>
        <w:gridCol w:w="1631"/>
        <w:gridCol w:w="956"/>
        <w:gridCol w:w="2138"/>
      </w:tblGrid>
      <w:tr w14:paraId="00DE24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378BC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VLAN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B72A7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Purpose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CD452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Subnet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A6CB1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Mask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0107C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Gateway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DFFA4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DHCP Pool</w:t>
            </w:r>
          </w:p>
        </w:tc>
      </w:tr>
      <w:tr w14:paraId="39F9E8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7867E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DC749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Administration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974A5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x.x.x.0 – x.x.x.63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347BB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 /26 (255.255.255.192)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340EF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CBD5D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x.x.x.10 – x.x.x.62</w:t>
            </w:r>
          </w:p>
        </w:tc>
      </w:tr>
      <w:tr w14:paraId="70E123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BEC87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85B318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Students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A9FEC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x.x.x.64 – x.x.x.127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8AAB7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 /26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2315E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x.x.x.65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CA9C2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x.x.x.74 – x.x.x.126</w:t>
            </w:r>
          </w:p>
        </w:tc>
      </w:tr>
      <w:tr w14:paraId="2E695F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402C0D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1208A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Staff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B018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x.x.x.128 – x.x.x.191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404C0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 /26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46063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72B99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x.x.x.138 – x.x.x.190</w:t>
            </w:r>
          </w:p>
        </w:tc>
      </w:tr>
      <w:tr w14:paraId="0A6A57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E0869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40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13263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Library &amp; E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noBreakHyphen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learning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8902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x.x.x.192 – x.x.x.255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8F77F5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 /26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6A65E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x.x.x.193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5031D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x.x.x.202 – x.x.x.254</w:t>
            </w:r>
          </w:p>
        </w:tc>
      </w:tr>
      <w:tr w14:paraId="236ABB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5D9DB4C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4273B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Security (CCTV, Access)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43880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x.x.(i+1).0 – …63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ECA3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 /26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CCA91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x.x.(i+1).1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17B8D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x.x.(i+1).10 – x.x.(i+1).62</w:t>
            </w:r>
          </w:p>
        </w:tc>
      </w:tr>
      <w:tr w14:paraId="6A5947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E34216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60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28C8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VoIP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6E228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x.x.(i+1).64 – …127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4132D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 /26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BA64F3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x.x.(i+1).65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D0D59E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000000"/>
                <w:kern w:val="0"/>
                <w:sz w:val="18"/>
                <w:szCs w:val="18"/>
                <w:lang w:val="en-US" w:eastAsia="zh-CN" w:bidi="ar"/>
              </w:rPr>
              <w:t>x.x.(i+1).74 – x.x.(i+1).126</w:t>
            </w:r>
          </w:p>
        </w:tc>
      </w:tr>
    </w:tbl>
    <w:p w14:paraId="6147FAE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</w:p>
    <w:p w14:paraId="36BC9B9D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Cambria" w:hAnsi="Cambria" w:eastAsia="Cambria" w:cs="Cambria"/>
          <w:b/>
          <w:bCs/>
          <w:color w:val="000000"/>
          <w:kern w:val="0"/>
          <w:sz w:val="22"/>
          <w:szCs w:val="22"/>
          <w:lang w:val="en-US" w:eastAsia="zh-CN" w:bidi="ar"/>
        </w:rPr>
        <w:t>Note</w:t>
      </w:r>
      <w:r>
        <w:rPr>
          <w:rFonts w:hint="eastAsia"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: “x.x” is the campus’s /22 base (e.g. 10.10 for Atse Tewodros), and “i” is the VLAN</w:t>
      </w:r>
      <w:r>
        <w:rPr>
          <w:rFonts w:hint="eastAsia"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hint="eastAsia"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block offset (50/60 start in the next /26 range).</w:t>
      </w:r>
    </w:p>
    <w:p w14:paraId="19D53348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09507FA3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Gateway = .1 of each VLAN’s subnet.</w:t>
      </w:r>
    </w:p>
    <w:p w14:paraId="4524430E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Static reservations (.2–.9) for servers, printers, APs, security devices.</w:t>
      </w:r>
    </w:p>
    <w:p w14:paraId="102D4702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DHCP pools for end</w:t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user hosts, avoiding .1–.9 and .62–.63.</w:t>
      </w:r>
    </w:p>
    <w:p w14:paraId="76BDE028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B74D9BA"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By following the same subdivision on every campus block, we get a consistent, predictable addressing scheme that makes inter</w:t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noBreakHyphen/>
      </w:r>
      <w:r>
        <w:rPr>
          <w:rFonts w:ascii="Cambria" w:hAnsi="Cambria" w:eastAsia="Cambria" w:cs="Cambria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campus routing easy and keeps each functional group isolated.</w:t>
      </w:r>
    </w:p>
    <w:p w14:paraId="0ABCC23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CA22A25"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- IP Addressing and Gateways: A Class C private IP address (e.g., 192.168.x.0/24) was subnetted using VLSM. Each </w:t>
      </w:r>
    </w:p>
    <w:p w14:paraId="41B2BD0E"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VLAN received a unique subnet: </w:t>
      </w:r>
    </w:p>
    <w:p w14:paraId="708B9FE1"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* VLAN 10: 192.168.10.0/24, Gateway: 192.168.10.1 </w:t>
      </w:r>
    </w:p>
    <w:p w14:paraId="599458ED"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* VLAN 20: 192.168.20.0/24, Gateway: 192.168.20.1 </w:t>
      </w:r>
    </w:p>
    <w:p w14:paraId="2C00FD4B"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* VLAN 30: 192.168.30.0/24, Gateway: 192.168.30.1 </w:t>
      </w:r>
    </w:p>
    <w:p w14:paraId="033C6679"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* VLAN 40: 192.168.40.0/24, Gateway: 192.168.40.1 </w:t>
      </w:r>
    </w:p>
    <w:p w14:paraId="0F69147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* VLAN 50: 192.168.50.0/24, Gateway: 192.168.50.1</w:t>
      </w:r>
    </w:p>
    <w:p w14:paraId="5A0A53D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Helvetica" w:hAnsi="Helvetica" w:eastAsia="Helvetica" w:cs="Helvetic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* VLAN 60: 192.168.60.0/24, Gateway: 192.168.60.1</w:t>
      </w:r>
    </w:p>
    <w:p w14:paraId="7A492E3D"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Cambria" w:hAnsi="Cambria" w:eastAsia="Cambria" w:cs="Cambria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22"/>
          <w:szCs w:val="22"/>
          <w:lang w:val="en-US" w:eastAsia="zh-CN" w:bidi="ar"/>
        </w:rPr>
        <w:t>T</w:t>
      </w:r>
      <w:r>
        <w:rPr>
          <w:rFonts w:ascii="Cambria" w:hAnsi="Cambria" w:eastAsia="Cambria" w:cs="Cambria"/>
          <w:b/>
          <w:bCs/>
          <w:color w:val="000000"/>
          <w:kern w:val="0"/>
          <w:sz w:val="22"/>
          <w:szCs w:val="22"/>
          <w:lang w:val="en-US" w:eastAsia="zh-CN" w:bidi="ar"/>
        </w:rPr>
        <w:t>he advantage of using subnetting in a university environment</w:t>
      </w:r>
    </w:p>
    <w:p w14:paraId="76491C6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Helvetica" w:hAnsi="Helvetica" w:eastAsia="Helvetica" w:cs="Helvetic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BFAF135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Reduced Broadcast Domains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:</w:t>
      </w:r>
      <w:r>
        <w:rPr>
          <w:b w:val="0"/>
          <w:bCs w:val="0"/>
          <w:sz w:val="22"/>
          <w:szCs w:val="22"/>
          <w:lang w:val="en-US" w:eastAsia="zh-CN"/>
        </w:rPr>
        <w:t>By breaking a large single network into many smaller subnets, you contain broadcast traffic within each VLAN. This minimizes unnecessary broadcast “noise,” improving overall network performance and reducing CPU/memory load on end devices.</w:t>
      </w:r>
    </w:p>
    <w:p w14:paraId="40A3E639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Improved Security &amp; Policy Enforcement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:</w:t>
      </w:r>
      <w:r>
        <w:rPr>
          <w:b w:val="0"/>
          <w:bCs w:val="0"/>
          <w:sz w:val="22"/>
          <w:szCs w:val="22"/>
          <w:lang w:val="en-US" w:eastAsia="zh-CN"/>
        </w:rPr>
        <w:t>Each subnet (e.g. Admin, Students, Library, CCTV) can have its own firewall rules, ACLs or NAC policies. If a compromised student machine starts scanning the network, it’s confined to the Student VLAN—it can’t directly reach servers or sensitive labs without explicit inter‐VLAN rules.</w:t>
      </w:r>
    </w:p>
    <w:p w14:paraId="3BACE862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Simplified Management &amp; Troubleshooting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:</w:t>
      </w:r>
      <w:r>
        <w:rPr>
          <w:b w:val="0"/>
          <w:bCs w:val="0"/>
          <w:sz w:val="22"/>
          <w:szCs w:val="22"/>
          <w:lang w:val="en-US" w:eastAsia="zh-CN"/>
        </w:rPr>
        <w:t>A predictable IP scheme (same /26 blocks on each campus) makes it trivial to know where a device lives just by its address. When a particular subnet is misbehaving, you immediately know which buildings or departments to inspect.</w:t>
      </w:r>
    </w:p>
    <w:p w14:paraId="71A9941A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Efficient IP Utilization</w:t>
      </w:r>
      <w:r>
        <w:rPr>
          <w:rFonts w:hint="default"/>
          <w:b/>
          <w:bCs/>
          <w:sz w:val="22"/>
          <w:szCs w:val="22"/>
          <w:lang w:val="en-US" w:eastAsia="zh-CN"/>
        </w:rPr>
        <w:t>:</w:t>
      </w:r>
      <w:r>
        <w:rPr>
          <w:b w:val="0"/>
          <w:bCs w:val="0"/>
          <w:sz w:val="22"/>
          <w:szCs w:val="22"/>
          <w:lang w:val="en-US" w:eastAsia="zh-CN"/>
        </w:rPr>
        <w:t>Instead of one huge /16 or /8 wasted on dozens of small groups, you tailor each subnet’s size to its needs (e.g., /26 for ~60 hosts). This conserves address space and avoids “islands” of unused addresses.</w:t>
      </w:r>
    </w:p>
    <w:p w14:paraId="21D15AE8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Quality of Service (QoS) &amp; Traffic Engineering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: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we </w:t>
      </w:r>
      <w:r>
        <w:rPr>
          <w:b w:val="0"/>
          <w:bCs w:val="0"/>
          <w:sz w:val="22"/>
          <w:szCs w:val="22"/>
          <w:lang w:val="en-US" w:eastAsia="zh-CN"/>
        </w:rPr>
        <w:t>can prioritize voice (VoIP VLAN) over bulk student downloads by classifying traffic at the subnet boundary. Similarly, library or research lab subnets can be given higher throughput guarantees.</w:t>
      </w:r>
    </w:p>
    <w:p w14:paraId="4F0151D2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Scalability &amp; Future Growth</w:t>
      </w:r>
      <w:r>
        <w:rPr>
          <w:rFonts w:hint="default"/>
          <w:b/>
          <w:bCs/>
          <w:sz w:val="22"/>
          <w:szCs w:val="22"/>
          <w:lang w:val="en-US" w:eastAsia="zh-CN"/>
        </w:rPr>
        <w:t>:</w:t>
      </w:r>
      <w:r>
        <w:rPr>
          <w:b w:val="0"/>
          <w:bCs w:val="0"/>
          <w:sz w:val="22"/>
          <w:szCs w:val="22"/>
          <w:lang w:val="en-US" w:eastAsia="zh-CN"/>
        </w:rPr>
        <w:t>New departments or research groups simply get “the next” /26 or /24 block. You don’t have to readdress the entire network—just allocate another subnet and plug it in.</w:t>
      </w:r>
    </w:p>
    <w:p w14:paraId="6E10A141">
      <w:pPr>
        <w:spacing w:line="360" w:lineRule="auto"/>
        <w:rPr>
          <w:b w:val="0"/>
          <w:bCs w:val="0"/>
          <w:sz w:val="22"/>
          <w:szCs w:val="22"/>
          <w:lang w:val="en-US" w:eastAsia="zh-CN"/>
        </w:rPr>
      </w:pPr>
      <w:r>
        <w:rPr>
          <w:b/>
          <w:bCs/>
          <w:sz w:val="22"/>
          <w:szCs w:val="22"/>
          <w:lang w:val="en-US" w:eastAsia="zh-CN"/>
        </w:rPr>
        <w:t>Enhanced Fault Isolation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:</w:t>
      </w:r>
      <w:r>
        <w:rPr>
          <w:b w:val="0"/>
          <w:bCs w:val="0"/>
          <w:sz w:val="22"/>
          <w:szCs w:val="22"/>
          <w:lang w:val="en-US" w:eastAsia="zh-CN"/>
        </w:rPr>
        <w:t>Network issues (like a rogue DHCP server or a broadcast storm) stay confined to a single subnet, making it faster and safer to isolate and correct problems without impacting the whole university.</w:t>
      </w:r>
    </w:p>
    <w:p w14:paraId="42993DE9">
      <w:pPr>
        <w:spacing w:line="360" w:lineRule="auto"/>
        <w:rPr>
          <w:sz w:val="24"/>
          <w:szCs w:val="24"/>
        </w:rPr>
      </w:pPr>
      <w:r>
        <w:rPr>
          <w:b/>
          <w:bCs/>
          <w:sz w:val="28"/>
          <w:szCs w:val="28"/>
          <w:lang w:val="en-US" w:eastAsia="zh-CN"/>
        </w:rPr>
        <w:t xml:space="preserve">Routing </w:t>
      </w:r>
    </w:p>
    <w:p w14:paraId="099A35E7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 xml:space="preserve">- </w:t>
      </w:r>
      <w:r>
        <w:rPr>
          <w:b/>
          <w:bCs/>
          <w:sz w:val="24"/>
          <w:szCs w:val="24"/>
          <w:lang w:val="en-US" w:eastAsia="zh-CN"/>
        </w:rPr>
        <w:t>Routing Type</w:t>
      </w:r>
      <w:r>
        <w:rPr>
          <w:sz w:val="24"/>
          <w:szCs w:val="24"/>
          <w:lang w:val="en-US" w:eastAsia="zh-CN"/>
        </w:rPr>
        <w:t xml:space="preserve">: Static routing and Router-on-a-Stick were implemented for inter-VLAN communication. Static routing </w:t>
      </w:r>
      <w:r>
        <w:rPr>
          <w:rFonts w:hint="default"/>
          <w:sz w:val="24"/>
          <w:szCs w:val="24"/>
          <w:lang w:val="en-US" w:eastAsia="zh-CN"/>
        </w:rPr>
        <w:t xml:space="preserve">was chosen for its simplicity in small to medium-sized networks. </w:t>
      </w:r>
    </w:p>
    <w:p w14:paraId="6F9BD1B8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Purpose of Default Routing</w:t>
      </w:r>
      <w:r>
        <w:rPr>
          <w:rFonts w:hint="default"/>
          <w:sz w:val="24"/>
          <w:szCs w:val="24"/>
          <w:lang w:val="en-US" w:eastAsia="zh-CN"/>
        </w:rPr>
        <w:t xml:space="preserve">: A default route was added to enable traffic to exit the university LAN to reach the internet via the ISP router. </w:t>
      </w:r>
    </w:p>
    <w:p w14:paraId="59974DC3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Interdepartmental Communication</w:t>
      </w:r>
      <w:r>
        <w:rPr>
          <w:rFonts w:hint="default"/>
          <w:sz w:val="24"/>
          <w:szCs w:val="24"/>
          <w:lang w:val="en-US" w:eastAsia="zh-CN"/>
        </w:rPr>
        <w:t>: Routers with sub-interfaces handle inter-VLAN communication, while the main router connects to the ISP using a separate interface (e.g., 200.200.1.1).</w:t>
      </w:r>
    </w:p>
    <w:p w14:paraId="04384095">
      <w:pPr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Device &amp; Server Configuration </w:t>
      </w:r>
    </w:p>
    <w:p w14:paraId="229F29EC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-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Configured Servers:</w:t>
      </w:r>
      <w:r>
        <w:rPr>
          <w:rFonts w:hint="default"/>
          <w:sz w:val="24"/>
          <w:szCs w:val="24"/>
          <w:lang w:val="en-US" w:eastAsia="zh-CN"/>
        </w:rPr>
        <w:t xml:space="preserve"> DHCP Server, FTP Server, DNS Server, and Web Server. </w:t>
      </w:r>
    </w:p>
    <w:p w14:paraId="5FB6142F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FTP Server</w:t>
      </w:r>
      <w:r>
        <w:rPr>
          <w:rFonts w:hint="default"/>
          <w:sz w:val="24"/>
          <w:szCs w:val="24"/>
          <w:lang w:val="en-US" w:eastAsia="zh-CN"/>
        </w:rPr>
        <w:t xml:space="preserve">: Assigned a static IP from the Server VLAN. Enabled FTP services in Packet Tracer, and tested using PC client with an FTP application. </w:t>
      </w:r>
    </w:p>
    <w:p w14:paraId="2F9BFDDA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DHCP</w:t>
      </w:r>
      <w:r>
        <w:rPr>
          <w:rFonts w:hint="default"/>
          <w:sz w:val="24"/>
          <w:szCs w:val="24"/>
          <w:lang w:val="en-US" w:eastAsia="zh-CN"/>
        </w:rPr>
        <w:t xml:space="preserve">: Configured with IP pools for each VLAN. PCs tested successfully received IPs automatically during boot-up. </w:t>
      </w:r>
    </w:p>
    <w:p w14:paraId="6D7B9066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142FE0D8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4C285DD9">
      <w:pPr>
        <w:spacing w:line="360" w:lineRule="auto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Troubleshooting &amp; Testing </w:t>
      </w:r>
    </w:p>
    <w:p w14:paraId="4B152E0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Inter-VLAN Communication</w:t>
      </w:r>
      <w:r>
        <w:rPr>
          <w:rFonts w:hint="default"/>
          <w:sz w:val="24"/>
          <w:szCs w:val="24"/>
          <w:lang w:val="en-US" w:eastAsia="zh-CN"/>
        </w:rPr>
        <w:t xml:space="preserve">: </w:t>
      </w:r>
    </w:p>
    <w:p w14:paraId="66656EBB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To verify that hosts on different VLANs could talk to each other (via the router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on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stick), we used these steps in Packet Tracer:</w:t>
      </w:r>
    </w:p>
    <w:p w14:paraId="34FEDD3F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Assign Test Hosts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Placed one PC in VLAN 20 (Students) and another in VLAN 30 (Staff).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Confirmed each had a correct IP and default gateway (e.g. PC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Stud: 10.10.0.74/26 GW 10.10.0.65; PC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Staff: 10.10.0.138/26 GW 10.10.0.129).</w:t>
      </w:r>
    </w:p>
    <w:p w14:paraId="5C2D1485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Ping Across VLANs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From the student PC CLI: ping 10.10.0.138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Verified successful replies (0% loss), proving the core router’s subinterface correctly routed VLAN 20→VLAN 30.</w:t>
      </w:r>
    </w:p>
    <w:p w14:paraId="0962A7CE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Traceroute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On the same PC: tracert 10.10.0.138 (Windows).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Observed two hops</w:t>
      </w:r>
    </w:p>
    <w:p w14:paraId="2A00F2B1">
      <w:pPr>
        <w:numPr>
          <w:ilvl w:val="0"/>
          <w:numId w:val="2"/>
        </w:numPr>
        <w:spacing w:line="360" w:lineRule="auto"/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Student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VLAN SVI (.65)</w:t>
      </w:r>
    </w:p>
    <w:p w14:paraId="088ECB15">
      <w:pPr>
        <w:numPr>
          <w:ilvl w:val="0"/>
          <w:numId w:val="2"/>
        </w:numPr>
        <w:spacing w:line="360" w:lineRule="auto"/>
        <w:ind w:left="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Staff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VLAN SVI (.129)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Confirms traffic moves through both VLAN interfaces.</w:t>
      </w:r>
    </w:p>
    <w:p w14:paraId="24353E8D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Simulation Mode Inspection</w:t>
      </w:r>
      <w:r>
        <w:rPr>
          <w:rFonts w:hint="default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Switched Packet Tracer into Simulation Mode.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Filtered for ICMP packets.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Sent a ping and watched the tagged frames exit the PC, traverse the access switch (with 802.1Q tags), hit the router subinterface, get routed, and return — end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to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end VLAN tag preservation and removal.</w:t>
      </w:r>
    </w:p>
    <w:p w14:paraId="40E5B28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Show Commands on Router</w:t>
      </w:r>
      <w:r>
        <w:rPr>
          <w:rFonts w:hint="default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show ip interface brief to confirm subinterfaces (e.g. Fa0/0.20 and Fa0/0.30) are up and have the right IPs.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show ip route to verify the router knows both subnets.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– show ip cef or show ip route vrf all to see fast switching entries for inter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VLAN traffic.</w:t>
      </w:r>
    </w:p>
    <w:p w14:paraId="70D2AC6C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615AFC1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All of these checks together validated that inter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VLAN routing was correctly configured and functional.</w:t>
      </w:r>
    </w:p>
    <w:p w14:paraId="525F7DFB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-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Internet Connectivity:</w:t>
      </w:r>
      <w:r>
        <w:rPr>
          <w:rFonts w:hint="default"/>
          <w:sz w:val="24"/>
          <w:szCs w:val="24"/>
          <w:lang w:val="en-US" w:eastAsia="zh-CN"/>
        </w:rPr>
        <w:t xml:space="preserve"> Pinged 8.8.8.8 and ISP interface (e.g., 200.200.1.1). Web browsing tested on client PCs. </w:t>
      </w:r>
    </w:p>
    <w:p w14:paraId="23E36990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Tools Used</w:t>
      </w:r>
      <w:r>
        <w:rPr>
          <w:rFonts w:hint="default"/>
          <w:sz w:val="24"/>
          <w:szCs w:val="24"/>
          <w:lang w:val="en-US" w:eastAsia="zh-CN"/>
        </w:rPr>
        <w:t>:</w:t>
      </w:r>
    </w:p>
    <w:p w14:paraId="02EEF4A7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Inside Cisco Packet Tracer we used both the built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in application tools and CLI commands to validate end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to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end connectivity:</w:t>
      </w:r>
    </w:p>
    <w:p w14:paraId="04AAB6CE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Ping</w:t>
      </w:r>
    </w:p>
    <w:p w14:paraId="77FAB4B1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From PC desktop CLI: ping &lt;IP&gt; to check basic reachability.</w:t>
      </w:r>
    </w:p>
    <w:p w14:paraId="61615DCE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From routers/firewalls: ping to test layer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3 hops (inter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VLAN gateways, ISP router).</w:t>
      </w:r>
    </w:p>
    <w:p w14:paraId="3A417C09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Traceroute</w:t>
      </w:r>
    </w:p>
    <w:p w14:paraId="2EA26249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From PC CLI: tracert &lt;IP&gt; (Windows) or traceroute &lt;IP&gt; (Linux) to confirm packet paths and hop counts.</w:t>
      </w:r>
    </w:p>
    <w:p w14:paraId="1CEE5BA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Simulation Mode</w:t>
      </w:r>
    </w:p>
    <w:p w14:paraId="10A1574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Switched into Simulation view and filtered for ICMP or specific protocols.</w:t>
      </w:r>
    </w:p>
    <w:p w14:paraId="1CF13FA9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Observed frame encapsulation/tagging through switches, routing at the router sub interfaces, and return traffic.</w:t>
      </w:r>
    </w:p>
    <w:p w14:paraId="043992D8"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Built</w:t>
      </w:r>
      <w:r>
        <w:rPr>
          <w:rFonts w:hint="default"/>
          <w:b/>
          <w:bCs/>
          <w:sz w:val="24"/>
          <w:szCs w:val="24"/>
          <w:lang w:val="en-US" w:eastAsia="zh-CN"/>
        </w:rPr>
        <w:noBreakHyphen/>
      </w:r>
      <w:r>
        <w:rPr>
          <w:rFonts w:hint="default"/>
          <w:b/>
          <w:bCs/>
          <w:sz w:val="24"/>
          <w:szCs w:val="24"/>
          <w:lang w:val="en-US" w:eastAsia="zh-CN"/>
        </w:rPr>
        <w:t>in Web Browser</w:t>
      </w:r>
    </w:p>
    <w:p w14:paraId="61024CF6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Used the HTTP application on student PCs to request an external web server (or ISP</w:t>
      </w:r>
      <w:r>
        <w:rPr>
          <w:rFonts w:hint="default"/>
          <w:sz w:val="24"/>
          <w:szCs w:val="24"/>
          <w:lang w:val="en-US" w:eastAsia="zh-CN"/>
        </w:rPr>
        <w:noBreakHyphen/>
      </w:r>
      <w:r>
        <w:rPr>
          <w:rFonts w:hint="default"/>
          <w:sz w:val="24"/>
          <w:szCs w:val="24"/>
          <w:lang w:val="en-US" w:eastAsia="zh-CN"/>
        </w:rPr>
        <w:t>hosted HTTP server) to verify TCP connectivity beyond ICMP.</w:t>
      </w:r>
    </w:p>
    <w:p w14:paraId="43CD9154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FTP Client</w:t>
      </w:r>
    </w:p>
    <w:p w14:paraId="77282655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On lab PCs, used the FTP client application to upload/download test files from our FTP server, verifying port 21 and data channel operation.</w:t>
      </w:r>
    </w:p>
    <w:p w14:paraId="2D97466B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Event List &amp; Packet Details</w:t>
      </w:r>
    </w:p>
    <w:p w14:paraId="0E9340C4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 Simulation, clicked individual packets to drill into 802.1Q tags, IP headers, and protocol counters—helpful for troubleshooting misconfigurations or ACL drops.</w:t>
      </w:r>
    </w:p>
    <w:p w14:paraId="322204B4"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p w14:paraId="1DA369B5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-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Role of Switch</w:t>
      </w:r>
      <w:r>
        <w:rPr>
          <w:rFonts w:hint="default"/>
          <w:sz w:val="24"/>
          <w:szCs w:val="24"/>
          <w:lang w:val="en-US" w:eastAsia="zh-CN"/>
        </w:rPr>
        <w:t xml:space="preserve">: Layer 2 switch connects PCs and assigns VLAN tags to ports. </w:t>
      </w:r>
    </w:p>
    <w:p w14:paraId="597F01ED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Router-on-a-Stick</w:t>
      </w:r>
      <w:r>
        <w:rPr>
          <w:rFonts w:hint="default"/>
          <w:sz w:val="24"/>
          <w:szCs w:val="24"/>
          <w:lang w:val="en-US" w:eastAsia="zh-CN"/>
        </w:rPr>
        <w:t xml:space="preserve">: Used to enable multiple VLANs on a single physical router interface using sub-interfaces. </w:t>
      </w:r>
    </w:p>
    <w:p w14:paraId="7F3749D4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DNS Importance</w:t>
      </w:r>
      <w:r>
        <w:rPr>
          <w:rFonts w:hint="default"/>
          <w:sz w:val="24"/>
          <w:szCs w:val="24"/>
          <w:lang w:val="en-US" w:eastAsia="zh-CN"/>
        </w:rPr>
        <w:t xml:space="preserve">: Resolves domain names to IP addresses, making it easier for users to access university web services. </w:t>
      </w:r>
    </w:p>
    <w:p w14:paraId="7901B9E1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Expansion Strategy</w:t>
      </w:r>
      <w:r>
        <w:rPr>
          <w:rFonts w:hint="default"/>
          <w:sz w:val="24"/>
          <w:szCs w:val="24"/>
          <w:lang w:val="en-US" w:eastAsia="zh-CN"/>
        </w:rPr>
        <w:t xml:space="preserve">: Use OSPF dynamic routing, campus-wide fiber backbone, and IP addressing plan with summarized subnets. </w:t>
      </w:r>
    </w:p>
    <w:p w14:paraId="6D0869ED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</w:t>
      </w:r>
      <w:r>
        <w:rPr>
          <w:rFonts w:hint="default"/>
          <w:b/>
          <w:bCs/>
          <w:sz w:val="24"/>
          <w:szCs w:val="24"/>
          <w:lang w:val="en-US" w:eastAsia="zh-CN"/>
        </w:rPr>
        <w:t>Simulation Limitations:</w:t>
      </w:r>
      <w:r>
        <w:rPr>
          <w:rFonts w:hint="default"/>
          <w:sz w:val="24"/>
          <w:szCs w:val="24"/>
          <w:lang w:val="en-US" w:eastAsia="zh-CN"/>
        </w:rPr>
        <w:t xml:space="preserve"> No real bandwidth, latency, or physical topology constraints. Does not model advanced firewallUniversity of Gondar ICT Infrastructure Simulation or user authentication.</w:t>
      </w:r>
    </w:p>
    <w:p w14:paraId="31135A2F">
      <w:pPr>
        <w:spacing w:line="360" w:lineRule="auto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-Security Measures</w:t>
      </w:r>
      <w:r>
        <w:rPr>
          <w:rFonts w:hint="default"/>
          <w:sz w:val="24"/>
          <w:szCs w:val="24"/>
          <w:lang w:val="en-US" w:eastAsia="zh-CN"/>
        </w:rPr>
        <w:t xml:space="preserve">: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Enforce stateful packet inspection and application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layer filtering between the internet and the core network.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Permit only the necessary inter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VLAN flows (e.g. student VLAN → DNS server, staff VLAN → file server).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Deny “east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west” traffic where not explicitly required (e.g. student VLAN → CCTV VLAN).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On switches with sensitive devices (e.g. research labs or server farm), use isolated PV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LANs to prevent direct host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to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host communication.</w:t>
      </w:r>
    </w:p>
    <w:p w14:paraId="02F6901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• Lock down each access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switch port to known MAC addresses or limit to 1–2 learnt clients; shut down ports on violation.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Require RADIUS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based authentication for devices before granting them any VLAN membership.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Disable unnecessary services and daemons.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Apply principle of least privilege to user accounts.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Regular patching/updates via a centralized management system.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Configure iptables/Windows Firewall rules to allow only required ports (e.g. 22 SSH, 443 HTTPS).</w:t>
      </w:r>
    </w:p>
    <w:p w14:paraId="4FD1F66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• Centralize syslogs, firewall logs, and IDS alerts.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Set up real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time correlation rules to detect brute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force, lateral movement, or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exfiltration.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Funnel all server management through hardened jump boxes; monitor and log all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sessions.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Use SNMP and NetFlow to track unusual bandwidth spikes or new device attachments.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Quarterly vulnerability scans; annual penetration tests on both wireless and wired segments.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Define roles, containment procedures, and recovery steps.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Maintain off</w:t>
      </w:r>
      <w:r>
        <w:rPr>
          <w:sz w:val="24"/>
          <w:szCs w:val="24"/>
        </w:rPr>
        <w:noBreakHyphen/>
      </w:r>
      <w:r>
        <w:rPr>
          <w:sz w:val="24"/>
          <w:szCs w:val="24"/>
        </w:rPr>
        <w:t>site secure backups of critical configurations and data.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Prevent rogue APs and eavesdropping in dorms and academic buildings.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Periodically scan for unauthorized wireless devices.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Lock wiring closets and server rooms with badge access.</w:t>
      </w:r>
      <w:r>
        <w:rPr>
          <w:rFonts w:hint="default"/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• Leverage the CCTV VLAN to monitor critical network infrastructure areas.</w:t>
      </w:r>
    </w:p>
    <w:p w14:paraId="3B1C644A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Design Diagram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4907915" cy="3500755"/>
            <wp:effectExtent l="0" t="0" r="6985" b="4445"/>
            <wp:docPr id="1" name="Picture 1" descr="ChatGPT Image Jun 17, 2025, 06_54_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17, 2025, 06_54_5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A5A5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5226685"/>
            <wp:effectExtent l="0" t="0" r="3810" b="5715"/>
            <wp:docPr id="2" name="Picture 2" descr="ChatGPT Image Jun 17, 2025, 06_54_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tGPT Image Jun 17, 2025, 06_54_48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68252B"/>
    <w:multiLevelType w:val="singleLevel"/>
    <w:tmpl w:val="8968252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BEA8ED"/>
    <w:multiLevelType w:val="singleLevel"/>
    <w:tmpl w:val="D5BEA8ED"/>
    <w:lvl w:ilvl="0" w:tentative="0">
      <w:start w:val="1"/>
      <w:numFmt w:val="decimal"/>
      <w:suff w:val="space"/>
      <w:lvlText w:val="%1."/>
      <w:lvlJc w:val="left"/>
      <w:pPr>
        <w:ind w:left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B14AE6"/>
    <w:rsid w:val="2BEE3C1A"/>
    <w:rsid w:val="4CB14AE6"/>
    <w:rsid w:val="54F7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2025-06-17T16:14:00Z</dcterms:created>
  <dc:creator>Dagim</dc:creator>
  <cp:lastModifiedBy>WPS_1705916687</cp:lastModifiedBy>
  <dcterms:modified xsi:type="dcterms:W3CDTF">2025-06-18T11:01:33Z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96E10B99389444CDAD1379B590776735_11</vt:lpwstr>
  </property>
</Properties>
</file>