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F66D8"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Jessica McPhaul</w:t>
      </w:r>
    </w:p>
    <w:p w14:paraId="11A94809"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QTW – 7333 – SMU Dr. Robert Slater</w:t>
      </w:r>
    </w:p>
    <w:p w14:paraId="263D3366"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3 March 2025</w:t>
      </w:r>
    </w:p>
    <w:p w14:paraId="14E99764"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Case Study 4 – Bankruptcy</w:t>
      </w:r>
    </w:p>
    <w:p w14:paraId="1CFB3341"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b/>
          <w:bCs/>
          <w:kern w:val="0"/>
          <w14:ligatures w14:val="none"/>
        </w:rPr>
      </w:pPr>
    </w:p>
    <w:p w14:paraId="0B6C0A2F"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b/>
          <w:bCs/>
          <w:kern w:val="0"/>
          <w14:ligatures w14:val="none"/>
        </w:rPr>
      </w:pPr>
    </w:p>
    <w:p w14:paraId="1026F4BB" w14:textId="6BEA026D"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Predicting Bankruptcy: A Machine Learning Approach</w:t>
      </w:r>
    </w:p>
    <w:p w14:paraId="41876FD8"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Introduction</w:t>
      </w:r>
    </w:p>
    <w:p w14:paraId="03DA7702" w14:textId="77777777" w:rsid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Bankruptcy prediction is a critical task in financial risk management, enabling businesses and investors to identify firms at risk of financial distress. This case study explores the use of machine learning models—specifically Random Forest (RF), Gradient Boosting Machines (GBM), and XGBoost—to predict corporate bankruptcy based on financial indicators. The dataset comprises five years of financial records, preprocessed and analyzed to determine key predictive features. Model performance is evaluated using metrics such as precision-recall tradeoffs, ROC AUC scores, and feature importance rankings.</w:t>
      </w:r>
    </w:p>
    <w:p w14:paraId="54058A72" w14:textId="6E0A40FF" w:rsidR="00CE1390" w:rsidRPr="003D5AEC" w:rsidRDefault="00CE1390" w:rsidP="003D5AEC">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739D210F">
          <v:rect id="_x0000_i1314" style="width:0;height:1.5pt" o:hralign="center" o:hrstd="t" o:hr="t" fillcolor="#a0a0a0" stroked="f"/>
        </w:pict>
      </w:r>
    </w:p>
    <w:p w14:paraId="6F142A6A"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Data Exploration and Preprocessing</w:t>
      </w:r>
    </w:p>
    <w:p w14:paraId="73AC2887"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Dataset Overview</w:t>
      </w:r>
    </w:p>
    <w:p w14:paraId="2E9BC558" w14:textId="77777777" w:rsid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dataset consists of five years of financial records, structured as an ARFF file with 64 financial attributes and a binary classification target indicating bankruptcy (0 = non-bankrupt, 1 = bankrupt). The dataset exhibits a severe class imbalance, with bankrupt firms comprising a small fraction of the total observations.</w:t>
      </w:r>
    </w:p>
    <w:p w14:paraId="0ED7D8EB" w14:textId="44BA540D" w:rsidR="00CE1390" w:rsidRPr="003D5AEC" w:rsidRDefault="00CE1390" w:rsidP="003D5AEC">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09A97356">
          <v:rect id="_x0000_i1313" style="width:0;height:1.5pt" o:hralign="center" o:hrstd="t" o:hr="t" fillcolor="#a0a0a0" stroked="f"/>
        </w:pict>
      </w:r>
    </w:p>
    <w:p w14:paraId="28EE9604"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Class Imbalance</w:t>
      </w:r>
    </w:p>
    <w:p w14:paraId="63FDD125"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A class distribution analysis reveals a strong imbalance, where the majority class (non-bankrupt firms) dominates the dataset. Addressing this imbalance is crucial to avoid biased model predictions favoring the majority class.</w:t>
      </w:r>
    </w:p>
    <w:p w14:paraId="1B4D7367"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1: Class Distribution</w:t>
      </w:r>
    </w:p>
    <w:p w14:paraId="71AC3623" w14:textId="2D8DAB08" w:rsidR="00E63827" w:rsidRDefault="00E63827" w:rsidP="003D5AEC">
      <w:pPr>
        <w:spacing w:before="100" w:beforeAutospacing="1" w:after="100" w:afterAutospacing="1" w:line="240" w:lineRule="auto"/>
        <w:rPr>
          <w:rFonts w:ascii="Times New Roman" w:eastAsia="Times New Roman" w:hAnsi="Times New Roman" w:cs="Times New Roman"/>
          <w:kern w:val="0"/>
          <w14:ligatures w14:val="none"/>
        </w:rPr>
      </w:pPr>
      <w:r w:rsidRPr="007D1304">
        <w:rPr>
          <w:rFonts w:ascii="Times New Roman" w:eastAsia="Times New Roman" w:hAnsi="Times New Roman" w:cs="Times New Roman"/>
          <w:kern w:val="0"/>
          <w14:ligatures w14:val="none"/>
        </w:rPr>
        <w:drawing>
          <wp:inline distT="0" distB="0" distL="0" distR="0" wp14:anchorId="2EE725FA" wp14:editId="07F50F43">
            <wp:extent cx="6553200" cy="4429125"/>
            <wp:effectExtent l="0" t="0" r="0" b="9525"/>
            <wp:docPr id="142282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2054" name="Picture 1" descr="A screenshot of a computer&#10;&#10;AI-generated content may be incorrect."/>
                    <pic:cNvPicPr/>
                  </pic:nvPicPr>
                  <pic:blipFill>
                    <a:blip r:embed="rId5"/>
                    <a:stretch>
                      <a:fillRect/>
                    </a:stretch>
                  </pic:blipFill>
                  <pic:spPr>
                    <a:xfrm>
                      <a:off x="0" y="0"/>
                      <a:ext cx="6553200" cy="4429125"/>
                    </a:xfrm>
                    <a:prstGeom prst="rect">
                      <a:avLst/>
                    </a:prstGeom>
                  </pic:spPr>
                </pic:pic>
              </a:graphicData>
            </a:graphic>
          </wp:inline>
        </w:drawing>
      </w:r>
    </w:p>
    <w:p w14:paraId="192280B7" w14:textId="77777777" w:rsidR="0035411E" w:rsidRPr="0035411E" w:rsidRDefault="0035411E" w:rsidP="0035411E">
      <w:pPr>
        <w:spacing w:after="0" w:line="240" w:lineRule="auto"/>
        <w:rPr>
          <w:rFonts w:ascii="Times New Roman" w:eastAsia="Times New Roman" w:hAnsi="Times New Roman" w:cs="Times New Roman"/>
          <w:i/>
          <w:iCs/>
          <w:kern w:val="0"/>
          <w:sz w:val="20"/>
          <w:szCs w:val="20"/>
          <w14:ligatures w14:val="none"/>
        </w:rPr>
      </w:pPr>
      <w:r w:rsidRPr="0035411E">
        <w:rPr>
          <w:rFonts w:ascii="Times New Roman" w:eastAsia="Times New Roman" w:hAnsi="Times New Roman" w:cs="Times New Roman"/>
          <w:b/>
          <w:bCs/>
          <w:i/>
          <w:iCs/>
          <w:kern w:val="0"/>
          <w:sz w:val="20"/>
          <w:szCs w:val="20"/>
          <w14:ligatures w14:val="none"/>
        </w:rPr>
        <w:t>Figure 1: Class Distribution of Bankruptcy Dataset</w:t>
      </w:r>
    </w:p>
    <w:p w14:paraId="5BB0AF64" w14:textId="77777777" w:rsidR="0035411E" w:rsidRPr="0035411E" w:rsidRDefault="0035411E" w:rsidP="0035411E">
      <w:pPr>
        <w:spacing w:after="0" w:line="240" w:lineRule="auto"/>
        <w:rPr>
          <w:rFonts w:ascii="Times New Roman" w:eastAsia="Times New Roman" w:hAnsi="Times New Roman" w:cs="Times New Roman"/>
          <w:i/>
          <w:iCs/>
          <w:kern w:val="0"/>
          <w:sz w:val="20"/>
          <w:szCs w:val="20"/>
          <w14:ligatures w14:val="none"/>
        </w:rPr>
      </w:pPr>
      <w:r w:rsidRPr="0035411E">
        <w:rPr>
          <w:rFonts w:ascii="Times New Roman" w:eastAsia="Times New Roman" w:hAnsi="Times New Roman" w:cs="Times New Roman"/>
          <w:i/>
          <w:iCs/>
          <w:kern w:val="0"/>
          <w:sz w:val="20"/>
          <w:szCs w:val="20"/>
          <w14:ligatures w14:val="none"/>
        </w:rPr>
        <w:t xml:space="preserve">This bar chart visualizes the severe class imbalance in the dataset, where the vast majority of firms (labeled as </w:t>
      </w:r>
      <w:r w:rsidRPr="0035411E">
        <w:rPr>
          <w:rFonts w:ascii="Times New Roman" w:eastAsia="Times New Roman" w:hAnsi="Times New Roman" w:cs="Times New Roman"/>
          <w:b/>
          <w:bCs/>
          <w:i/>
          <w:iCs/>
          <w:kern w:val="0"/>
          <w:sz w:val="20"/>
          <w:szCs w:val="20"/>
          <w14:ligatures w14:val="none"/>
        </w:rPr>
        <w:t>0</w:t>
      </w:r>
      <w:r w:rsidRPr="0035411E">
        <w:rPr>
          <w:rFonts w:ascii="Times New Roman" w:eastAsia="Times New Roman" w:hAnsi="Times New Roman" w:cs="Times New Roman"/>
          <w:i/>
          <w:iCs/>
          <w:kern w:val="0"/>
          <w:sz w:val="20"/>
          <w:szCs w:val="20"/>
          <w14:ligatures w14:val="none"/>
        </w:rPr>
        <w:t>, non-bankrupt) greatly outnumber the bankrupt firms (</w:t>
      </w:r>
      <w:r w:rsidRPr="0035411E">
        <w:rPr>
          <w:rFonts w:ascii="Times New Roman" w:eastAsia="Times New Roman" w:hAnsi="Times New Roman" w:cs="Times New Roman"/>
          <w:b/>
          <w:bCs/>
          <w:i/>
          <w:iCs/>
          <w:kern w:val="0"/>
          <w:sz w:val="20"/>
          <w:szCs w:val="20"/>
          <w14:ligatures w14:val="none"/>
        </w:rPr>
        <w:t>1</w:t>
      </w:r>
      <w:r w:rsidRPr="0035411E">
        <w:rPr>
          <w:rFonts w:ascii="Times New Roman" w:eastAsia="Times New Roman" w:hAnsi="Times New Roman" w:cs="Times New Roman"/>
          <w:i/>
          <w:iCs/>
          <w:kern w:val="0"/>
          <w:sz w:val="20"/>
          <w:szCs w:val="20"/>
          <w14:ligatures w14:val="none"/>
        </w:rPr>
        <w:t xml:space="preserve">). The dataset contains </w:t>
      </w:r>
      <w:r w:rsidRPr="0035411E">
        <w:rPr>
          <w:rFonts w:ascii="Times New Roman" w:eastAsia="Times New Roman" w:hAnsi="Times New Roman" w:cs="Times New Roman"/>
          <w:b/>
          <w:bCs/>
          <w:i/>
          <w:iCs/>
          <w:kern w:val="0"/>
          <w:sz w:val="20"/>
          <w:szCs w:val="20"/>
          <w14:ligatures w14:val="none"/>
        </w:rPr>
        <w:t>over 40,000 non-bankrupt firms</w:t>
      </w:r>
      <w:r w:rsidRPr="0035411E">
        <w:rPr>
          <w:rFonts w:ascii="Times New Roman" w:eastAsia="Times New Roman" w:hAnsi="Times New Roman" w:cs="Times New Roman"/>
          <w:i/>
          <w:iCs/>
          <w:kern w:val="0"/>
          <w:sz w:val="20"/>
          <w:szCs w:val="20"/>
          <w14:ligatures w14:val="none"/>
        </w:rPr>
        <w:t xml:space="preserve">, whereas </w:t>
      </w:r>
      <w:r w:rsidRPr="0035411E">
        <w:rPr>
          <w:rFonts w:ascii="Times New Roman" w:eastAsia="Times New Roman" w:hAnsi="Times New Roman" w:cs="Times New Roman"/>
          <w:b/>
          <w:bCs/>
          <w:i/>
          <w:iCs/>
          <w:kern w:val="0"/>
          <w:sz w:val="20"/>
          <w:szCs w:val="20"/>
          <w14:ligatures w14:val="none"/>
        </w:rPr>
        <w:t>only a few thousand firms</w:t>
      </w:r>
      <w:r w:rsidRPr="0035411E">
        <w:rPr>
          <w:rFonts w:ascii="Times New Roman" w:eastAsia="Times New Roman" w:hAnsi="Times New Roman" w:cs="Times New Roman"/>
          <w:i/>
          <w:iCs/>
          <w:kern w:val="0"/>
          <w:sz w:val="20"/>
          <w:szCs w:val="20"/>
          <w14:ligatures w14:val="none"/>
        </w:rPr>
        <w:t xml:space="preserve"> are labeled as bankrupt.</w:t>
      </w:r>
    </w:p>
    <w:p w14:paraId="7757393D" w14:textId="77777777" w:rsidR="00CE1390" w:rsidRDefault="0035411E" w:rsidP="00CE1390">
      <w:pPr>
        <w:spacing w:after="0" w:line="240" w:lineRule="auto"/>
        <w:rPr>
          <w:rFonts w:ascii="Times New Roman" w:eastAsia="Times New Roman" w:hAnsi="Times New Roman" w:cs="Times New Roman"/>
          <w:i/>
          <w:iCs/>
          <w:kern w:val="0"/>
          <w:sz w:val="20"/>
          <w:szCs w:val="20"/>
          <w14:ligatures w14:val="none"/>
        </w:rPr>
      </w:pPr>
      <w:r w:rsidRPr="0035411E">
        <w:rPr>
          <w:rFonts w:ascii="Times New Roman" w:eastAsia="Times New Roman" w:hAnsi="Times New Roman" w:cs="Times New Roman"/>
          <w:i/>
          <w:iCs/>
          <w:kern w:val="0"/>
          <w:sz w:val="20"/>
          <w:szCs w:val="20"/>
          <w14:ligatures w14:val="none"/>
        </w:rPr>
        <w:t>Such an extreme imbalance presents challenges in machine learning classification, as standard models tend to favor the majority class, leading to poor recall for the minority class (bankrupt firms). Addressing this imbalance through resampling techniques, class weighting, or anomaly detection strategies is critical for improving bankruptcy prediction performance.</w:t>
      </w:r>
    </w:p>
    <w:p w14:paraId="593A0B89" w14:textId="77777777" w:rsidR="00CE1390" w:rsidRDefault="00CE1390" w:rsidP="00CE1390">
      <w:pPr>
        <w:spacing w:after="0" w:line="240" w:lineRule="auto"/>
        <w:rPr>
          <w:rFonts w:ascii="Times New Roman" w:eastAsia="Times New Roman" w:hAnsi="Times New Roman" w:cs="Times New Roman"/>
          <w:i/>
          <w:iCs/>
          <w:kern w:val="0"/>
          <w:sz w:val="20"/>
          <w:szCs w:val="20"/>
          <w14:ligatures w14:val="none"/>
        </w:rPr>
      </w:pPr>
    </w:p>
    <w:p w14:paraId="0C942315" w14:textId="683BCD26" w:rsidR="003D5AEC" w:rsidRDefault="003D5AEC" w:rsidP="00CE1390">
      <w:pPr>
        <w:spacing w:after="0"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Note: The extreme class imbalance suggests the need for model adjustments, such as class weighting, resampling techniques, or anomaly detection methods, to improve minority class detection.</w:t>
      </w:r>
    </w:p>
    <w:p w14:paraId="0B39115F" w14:textId="77777777" w:rsidR="00CE1390" w:rsidRDefault="00CE1390" w:rsidP="00CE1390">
      <w:pPr>
        <w:spacing w:after="0" w:line="240" w:lineRule="auto"/>
        <w:rPr>
          <w:rFonts w:ascii="Times New Roman" w:eastAsia="Times New Roman" w:hAnsi="Times New Roman" w:cs="Times New Roman"/>
          <w:i/>
          <w:iCs/>
          <w:kern w:val="0"/>
          <w14:ligatures w14:val="none"/>
        </w:rPr>
      </w:pPr>
    </w:p>
    <w:p w14:paraId="117DE25B" w14:textId="27719A92" w:rsidR="00CE1390" w:rsidRPr="003D5AEC" w:rsidRDefault="00CE1390" w:rsidP="00CE1390">
      <w:pPr>
        <w:spacing w:after="0" w:line="240" w:lineRule="auto"/>
        <w:rPr>
          <w:rFonts w:ascii="Times New Roman" w:eastAsia="Times New Roman" w:hAnsi="Times New Roman" w:cs="Times New Roman"/>
          <w:i/>
          <w:iCs/>
          <w:kern w:val="0"/>
          <w:sz w:val="20"/>
          <w:szCs w:val="20"/>
          <w14:ligatures w14:val="none"/>
        </w:rPr>
      </w:pPr>
      <w:r w:rsidRPr="00CE1390">
        <w:rPr>
          <w:rFonts w:ascii="Times New Roman" w:eastAsia="Times New Roman" w:hAnsi="Times New Roman" w:cs="Times New Roman"/>
          <w:kern w:val="0"/>
          <w14:ligatures w14:val="none"/>
        </w:rPr>
        <w:pict w14:anchorId="25617927">
          <v:rect id="_x0000_i1312" style="width:0;height:1.5pt" o:hralign="center" o:hrstd="t" o:hr="t" fillcolor="#a0a0a0" stroked="f"/>
        </w:pict>
      </w:r>
    </w:p>
    <w:p w14:paraId="2A1290A1"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Data Cleaning and Feature Engineering</w:t>
      </w:r>
    </w:p>
    <w:p w14:paraId="25434C94" w14:textId="77777777" w:rsidR="003D5AEC" w:rsidRP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Handling Missing Values</w:t>
      </w:r>
      <w:r w:rsidRPr="003D5AEC">
        <w:rPr>
          <w:rFonts w:ascii="Times New Roman" w:eastAsia="Times New Roman" w:hAnsi="Times New Roman" w:cs="Times New Roman"/>
          <w:kern w:val="0"/>
          <w14:ligatures w14:val="none"/>
        </w:rPr>
        <w:t>: Missing values were replaced using median imputation.</w:t>
      </w:r>
    </w:p>
    <w:p w14:paraId="21DD864F" w14:textId="77777777" w:rsidR="003D5AEC" w:rsidRP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Encoding</w:t>
      </w:r>
      <w:r w:rsidRPr="003D5AEC">
        <w:rPr>
          <w:rFonts w:ascii="Times New Roman" w:eastAsia="Times New Roman" w:hAnsi="Times New Roman" w:cs="Times New Roman"/>
          <w:kern w:val="0"/>
          <w14:ligatures w14:val="none"/>
        </w:rPr>
        <w:t>: The binary target variable was converted from byte format to integer format for compatibility with machine learning models.</w:t>
      </w:r>
    </w:p>
    <w:p w14:paraId="4A76558C" w14:textId="77777777" w:rsidR="003D5AEC" w:rsidRP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Feature Scaling</w:t>
      </w:r>
      <w:r w:rsidRPr="003D5AEC">
        <w:rPr>
          <w:rFonts w:ascii="Times New Roman" w:eastAsia="Times New Roman" w:hAnsi="Times New Roman" w:cs="Times New Roman"/>
          <w:kern w:val="0"/>
          <w14:ligatures w14:val="none"/>
        </w:rPr>
        <w:t>: A robust scaler was applied to standardize feature distributions while mitigating the influence of outliers.</w:t>
      </w:r>
    </w:p>
    <w:p w14:paraId="38BCB553" w14:textId="77777777" w:rsid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Train-Test Split</w:t>
      </w:r>
      <w:r w:rsidRPr="003D5AEC">
        <w:rPr>
          <w:rFonts w:ascii="Times New Roman" w:eastAsia="Times New Roman" w:hAnsi="Times New Roman" w:cs="Times New Roman"/>
          <w:kern w:val="0"/>
          <w14:ligatures w14:val="none"/>
        </w:rPr>
        <w:t>: The dataset was split into an 80-20 train-test ratio, maintaining class distribution through stratified sampling.</w:t>
      </w:r>
    </w:p>
    <w:p w14:paraId="3A2FFE3A" w14:textId="5BFFCA1E" w:rsidR="00CE1390" w:rsidRPr="003D5AEC"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558149F9">
          <v:rect id="_x0000_i1311" style="width:0;height:1.5pt" o:hralign="center" o:hrstd="t" o:hr="t" fillcolor="#a0a0a0" stroked="f"/>
        </w:pict>
      </w:r>
    </w:p>
    <w:p w14:paraId="3A850659"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Exploratory Data Analysis (EDA)</w:t>
      </w:r>
    </w:p>
    <w:p w14:paraId="1C514BF7"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EDA involved analyzing key financial ratios and their distributions to determine their potential relevance in bankruptcy prediction. The top financial indicators were identified through feature importance analysis in the GBM model, which will be discussed later.</w:t>
      </w:r>
    </w:p>
    <w:p w14:paraId="75DC0F14"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Machine Learning Model Performance and Results</w:t>
      </w:r>
    </w:p>
    <w:p w14:paraId="163B75FE"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Model Training and Hyperparameter Tuning</w:t>
      </w:r>
    </w:p>
    <w:p w14:paraId="022A5157"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Each model underwent hyperparameter tuning to optimize performance:</w:t>
      </w:r>
    </w:p>
    <w:p w14:paraId="2C7F35B2" w14:textId="77777777" w:rsidR="003D5AEC" w:rsidRPr="003D5AEC" w:rsidRDefault="003D5AEC" w:rsidP="003D5A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Random Forest (RF)</w:t>
      </w:r>
      <w:r w:rsidRPr="003D5AEC">
        <w:rPr>
          <w:rFonts w:ascii="Times New Roman" w:eastAsia="Times New Roman" w:hAnsi="Times New Roman" w:cs="Times New Roman"/>
          <w:kern w:val="0"/>
          <w14:ligatures w14:val="none"/>
        </w:rPr>
        <w:t>: Grid search optimized the number of estimators, depth, and split criteria.</w:t>
      </w:r>
    </w:p>
    <w:p w14:paraId="273BC542" w14:textId="77777777" w:rsidR="003D5AEC" w:rsidRPr="003D5AEC" w:rsidRDefault="003D5AEC" w:rsidP="003D5A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Gradient Boosting Machine (GBM)</w:t>
      </w:r>
      <w:r w:rsidRPr="003D5AEC">
        <w:rPr>
          <w:rFonts w:ascii="Times New Roman" w:eastAsia="Times New Roman" w:hAnsi="Times New Roman" w:cs="Times New Roman"/>
          <w:kern w:val="0"/>
          <w14:ligatures w14:val="none"/>
        </w:rPr>
        <w:t>: Adjusted learning rate, depth, and number of boosting stages.</w:t>
      </w:r>
    </w:p>
    <w:p w14:paraId="3B0B4C6B" w14:textId="77777777" w:rsidR="003D5AEC" w:rsidRDefault="003D5AEC" w:rsidP="003D5A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XGBoost</w:t>
      </w:r>
      <w:r w:rsidRPr="003D5AEC">
        <w:rPr>
          <w:rFonts w:ascii="Times New Roman" w:eastAsia="Times New Roman" w:hAnsi="Times New Roman" w:cs="Times New Roman"/>
          <w:kern w:val="0"/>
          <w14:ligatures w14:val="none"/>
        </w:rPr>
        <w:t>: Employed RandomizedSearchCV to fine-tune learning rate, max depth, and regularization parameters.</w:t>
      </w:r>
    </w:p>
    <w:p w14:paraId="57D4B263" w14:textId="1982575C" w:rsidR="00CE1390" w:rsidRPr="003D5AEC"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096597EF">
          <v:rect id="_x0000_i1310" style="width:0;height:1.5pt" o:hralign="center" o:hrstd="t" o:hr="t" fillcolor="#a0a0a0" stroked="f"/>
        </w:pict>
      </w:r>
    </w:p>
    <w:p w14:paraId="3B7F7DBD"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Confusion Matrix Analysis</w:t>
      </w:r>
    </w:p>
    <w:p w14:paraId="25077F79"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confusion matrices for RF and XGBoost reveal significant differences in classification performance. XGBoost outperforms RF in detecting bankrupt firms, evidenced by higher true positive rates.</w:t>
      </w:r>
    </w:p>
    <w:p w14:paraId="6AFB0B7C" w14:textId="011EEBC3" w:rsidR="003D5AEC" w:rsidRPr="007D1304"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2: Random Forest Confusion Matrix</w:t>
      </w:r>
      <w:r w:rsidR="00E63827" w:rsidRPr="007D1304">
        <w:rPr>
          <w:rFonts w:ascii="Times New Roman" w:eastAsia="Times New Roman" w:hAnsi="Times New Roman" w:cs="Times New Roman"/>
          <w:i/>
          <w:iCs/>
          <w:kern w:val="0"/>
          <w14:ligatures w14:val="none"/>
        </w:rPr>
        <w:t xml:space="preserve">                                                     </w:t>
      </w:r>
      <w:r w:rsidRPr="003D5AEC">
        <w:rPr>
          <w:rFonts w:ascii="Times New Roman" w:eastAsia="Times New Roman" w:hAnsi="Times New Roman" w:cs="Times New Roman"/>
          <w:i/>
          <w:iCs/>
          <w:kern w:val="0"/>
          <w14:ligatures w14:val="none"/>
        </w:rPr>
        <w:t>Figure 3: XGBoost Confusion Matrix</w:t>
      </w:r>
    </w:p>
    <w:p w14:paraId="01ABBA01" w14:textId="77777777" w:rsidR="007D1304" w:rsidRPr="0035411E" w:rsidRDefault="00E63827"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hAnsi="Times New Roman" w:cs="Times New Roman"/>
          <w:noProof/>
        </w:rPr>
        <w:drawing>
          <wp:inline distT="0" distB="0" distL="0" distR="0" wp14:anchorId="5EA4BE38" wp14:editId="070736A7">
            <wp:extent cx="8910320" cy="4125595"/>
            <wp:effectExtent l="0" t="0" r="5080" b="8255"/>
            <wp:docPr id="1920661714" name="Picture 1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61714" name="Picture 11" descr="A comparison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10320" cy="4125595"/>
                    </a:xfrm>
                    <a:prstGeom prst="rect">
                      <a:avLst/>
                    </a:prstGeom>
                    <a:noFill/>
                    <a:ln>
                      <a:noFill/>
                    </a:ln>
                  </pic:spPr>
                </pic:pic>
              </a:graphicData>
            </a:graphic>
          </wp:inline>
        </w:drawing>
      </w:r>
      <w:r w:rsidR="0025150E" w:rsidRPr="007D1304">
        <w:rPr>
          <w:rFonts w:ascii="Times New Roman" w:eastAsia="Times New Roman" w:hAnsi="Times New Roman" w:cs="Times New Roman"/>
          <w:kern w:val="0"/>
          <w14:ligatures w14:val="none"/>
        </w:rPr>
        <w:br/>
      </w:r>
      <w:r w:rsidR="007D1304" w:rsidRPr="0035411E">
        <w:rPr>
          <w:rFonts w:ascii="Times New Roman" w:eastAsia="Times New Roman" w:hAnsi="Times New Roman" w:cs="Times New Roman"/>
          <w:b/>
          <w:bCs/>
          <w:i/>
          <w:iCs/>
          <w:kern w:val="0"/>
          <w:sz w:val="20"/>
          <w:szCs w:val="20"/>
          <w14:ligatures w14:val="none"/>
        </w:rPr>
        <w:t>Figure 2 &amp; 3: Confusion Matrices for Random Forest and XGBoost Models</w:t>
      </w:r>
    </w:p>
    <w:p w14:paraId="340B6911" w14:textId="77777777" w:rsidR="007D1304" w:rsidRPr="007D1304" w:rsidRDefault="007D1304"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The confusion matrices compare the performance of the </w:t>
      </w:r>
      <w:r w:rsidRPr="007D1304">
        <w:rPr>
          <w:rFonts w:ascii="Times New Roman" w:eastAsia="Times New Roman" w:hAnsi="Times New Roman" w:cs="Times New Roman"/>
          <w:b/>
          <w:bCs/>
          <w:i/>
          <w:iCs/>
          <w:kern w:val="0"/>
          <w:sz w:val="20"/>
          <w:szCs w:val="20"/>
          <w14:ligatures w14:val="none"/>
        </w:rPr>
        <w:t>Random Forest (RF) model</w:t>
      </w:r>
      <w:r w:rsidRPr="007D1304">
        <w:rPr>
          <w:rFonts w:ascii="Times New Roman" w:eastAsia="Times New Roman" w:hAnsi="Times New Roman" w:cs="Times New Roman"/>
          <w:i/>
          <w:iCs/>
          <w:kern w:val="0"/>
          <w:sz w:val="20"/>
          <w:szCs w:val="20"/>
          <w14:ligatures w14:val="none"/>
        </w:rPr>
        <w:t xml:space="preserve"> (left) and the </w:t>
      </w:r>
      <w:r w:rsidRPr="007D1304">
        <w:rPr>
          <w:rFonts w:ascii="Times New Roman" w:eastAsia="Times New Roman" w:hAnsi="Times New Roman" w:cs="Times New Roman"/>
          <w:b/>
          <w:bCs/>
          <w:i/>
          <w:iCs/>
          <w:kern w:val="0"/>
          <w:sz w:val="20"/>
          <w:szCs w:val="20"/>
          <w14:ligatures w14:val="none"/>
        </w:rPr>
        <w:t>XGBoost model</w:t>
      </w:r>
      <w:r w:rsidRPr="007D1304">
        <w:rPr>
          <w:rFonts w:ascii="Times New Roman" w:eastAsia="Times New Roman" w:hAnsi="Times New Roman" w:cs="Times New Roman"/>
          <w:i/>
          <w:iCs/>
          <w:kern w:val="0"/>
          <w:sz w:val="20"/>
          <w:szCs w:val="20"/>
          <w14:ligatures w14:val="none"/>
        </w:rPr>
        <w:t xml:space="preserve"> (right) in predicting bankruptcy. The </w:t>
      </w:r>
      <w:r w:rsidRPr="007D1304">
        <w:rPr>
          <w:rFonts w:ascii="Times New Roman" w:eastAsia="Times New Roman" w:hAnsi="Times New Roman" w:cs="Times New Roman"/>
          <w:b/>
          <w:bCs/>
          <w:i/>
          <w:iCs/>
          <w:kern w:val="0"/>
          <w:sz w:val="20"/>
          <w:szCs w:val="20"/>
          <w14:ligatures w14:val="none"/>
        </w:rPr>
        <w:t>true negatives (top-left)</w:t>
      </w:r>
      <w:r w:rsidRPr="007D1304">
        <w:rPr>
          <w:rFonts w:ascii="Times New Roman" w:eastAsia="Times New Roman" w:hAnsi="Times New Roman" w:cs="Times New Roman"/>
          <w:i/>
          <w:iCs/>
          <w:kern w:val="0"/>
          <w:sz w:val="20"/>
          <w:szCs w:val="20"/>
          <w14:ligatures w14:val="none"/>
        </w:rPr>
        <w:t xml:space="preserve"> represent correctly identified non-bankrupt firms, while the </w:t>
      </w:r>
      <w:r w:rsidRPr="007D1304">
        <w:rPr>
          <w:rFonts w:ascii="Times New Roman" w:eastAsia="Times New Roman" w:hAnsi="Times New Roman" w:cs="Times New Roman"/>
          <w:b/>
          <w:bCs/>
          <w:i/>
          <w:iCs/>
          <w:kern w:val="0"/>
          <w:sz w:val="20"/>
          <w:szCs w:val="20"/>
          <w14:ligatures w14:val="none"/>
        </w:rPr>
        <w:t>true positives (bottom-right)</w:t>
      </w:r>
      <w:r w:rsidRPr="007D1304">
        <w:rPr>
          <w:rFonts w:ascii="Times New Roman" w:eastAsia="Times New Roman" w:hAnsi="Times New Roman" w:cs="Times New Roman"/>
          <w:i/>
          <w:iCs/>
          <w:kern w:val="0"/>
          <w:sz w:val="20"/>
          <w:szCs w:val="20"/>
          <w14:ligatures w14:val="none"/>
        </w:rPr>
        <w:t xml:space="preserve"> indicate correctly identified bankrupt firms.</w:t>
      </w:r>
    </w:p>
    <w:p w14:paraId="34CA8D91" w14:textId="77777777" w:rsidR="007D1304" w:rsidRPr="007D1304" w:rsidRDefault="007D1304" w:rsidP="007D1304">
      <w:pPr>
        <w:numPr>
          <w:ilvl w:val="0"/>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b/>
          <w:bCs/>
          <w:i/>
          <w:iCs/>
          <w:kern w:val="0"/>
          <w:sz w:val="20"/>
          <w:szCs w:val="20"/>
          <w14:ligatures w14:val="none"/>
        </w:rPr>
        <w:t>Random Forest (RF) Model</w:t>
      </w:r>
      <w:r w:rsidRPr="007D1304">
        <w:rPr>
          <w:rFonts w:ascii="Times New Roman" w:eastAsia="Times New Roman" w:hAnsi="Times New Roman" w:cs="Times New Roman"/>
          <w:i/>
          <w:iCs/>
          <w:kern w:val="0"/>
          <w:sz w:val="20"/>
          <w:szCs w:val="20"/>
          <w14:ligatures w14:val="none"/>
        </w:rPr>
        <w:t>:</w:t>
      </w:r>
    </w:p>
    <w:p w14:paraId="59A5BCBB"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Identifies </w:t>
      </w:r>
      <w:r w:rsidRPr="007D1304">
        <w:rPr>
          <w:rFonts w:ascii="Times New Roman" w:eastAsia="Times New Roman" w:hAnsi="Times New Roman" w:cs="Times New Roman"/>
          <w:b/>
          <w:bCs/>
          <w:i/>
          <w:iCs/>
          <w:kern w:val="0"/>
          <w:sz w:val="20"/>
          <w:szCs w:val="20"/>
          <w14:ligatures w14:val="none"/>
        </w:rPr>
        <w:t>8,256</w:t>
      </w:r>
      <w:r w:rsidRPr="007D1304">
        <w:rPr>
          <w:rFonts w:ascii="Times New Roman" w:eastAsia="Times New Roman" w:hAnsi="Times New Roman" w:cs="Times New Roman"/>
          <w:i/>
          <w:iCs/>
          <w:kern w:val="0"/>
          <w:sz w:val="20"/>
          <w:szCs w:val="20"/>
          <w14:ligatures w14:val="none"/>
        </w:rPr>
        <w:t xml:space="preserve"> non-bankrupt firms correctly.</w:t>
      </w:r>
    </w:p>
    <w:p w14:paraId="46462F98"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Fails to classify </w:t>
      </w:r>
      <w:r w:rsidRPr="007D1304">
        <w:rPr>
          <w:rFonts w:ascii="Times New Roman" w:eastAsia="Times New Roman" w:hAnsi="Times New Roman" w:cs="Times New Roman"/>
          <w:b/>
          <w:bCs/>
          <w:i/>
          <w:iCs/>
          <w:kern w:val="0"/>
          <w:sz w:val="20"/>
          <w:szCs w:val="20"/>
          <w14:ligatures w14:val="none"/>
        </w:rPr>
        <w:t>270</w:t>
      </w:r>
      <w:r w:rsidRPr="007D1304">
        <w:rPr>
          <w:rFonts w:ascii="Times New Roman" w:eastAsia="Times New Roman" w:hAnsi="Times New Roman" w:cs="Times New Roman"/>
          <w:i/>
          <w:iCs/>
          <w:kern w:val="0"/>
          <w:sz w:val="20"/>
          <w:szCs w:val="20"/>
          <w14:ligatures w14:val="none"/>
        </w:rPr>
        <w:t xml:space="preserve"> bankrupt firms correctly, indicating a </w:t>
      </w:r>
      <w:r w:rsidRPr="007D1304">
        <w:rPr>
          <w:rFonts w:ascii="Times New Roman" w:eastAsia="Times New Roman" w:hAnsi="Times New Roman" w:cs="Times New Roman"/>
          <w:b/>
          <w:bCs/>
          <w:i/>
          <w:iCs/>
          <w:kern w:val="0"/>
          <w:sz w:val="20"/>
          <w:szCs w:val="20"/>
          <w14:ligatures w14:val="none"/>
        </w:rPr>
        <w:t>high false negative rate</w:t>
      </w:r>
      <w:r w:rsidRPr="007D1304">
        <w:rPr>
          <w:rFonts w:ascii="Times New Roman" w:eastAsia="Times New Roman" w:hAnsi="Times New Roman" w:cs="Times New Roman"/>
          <w:i/>
          <w:iCs/>
          <w:kern w:val="0"/>
          <w:sz w:val="20"/>
          <w:szCs w:val="20"/>
          <w14:ligatures w14:val="none"/>
        </w:rPr>
        <w:t xml:space="preserve"> (misclassifying firms that are actually bankrupt).</w:t>
      </w:r>
    </w:p>
    <w:p w14:paraId="0D9CB602"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Has only </w:t>
      </w:r>
      <w:r w:rsidRPr="007D1304">
        <w:rPr>
          <w:rFonts w:ascii="Times New Roman" w:eastAsia="Times New Roman" w:hAnsi="Times New Roman" w:cs="Times New Roman"/>
          <w:b/>
          <w:bCs/>
          <w:i/>
          <w:iCs/>
          <w:kern w:val="0"/>
          <w:sz w:val="20"/>
          <w:szCs w:val="20"/>
          <w14:ligatures w14:val="none"/>
        </w:rPr>
        <w:t>7 false positives</w:t>
      </w:r>
      <w:r w:rsidRPr="007D1304">
        <w:rPr>
          <w:rFonts w:ascii="Times New Roman" w:eastAsia="Times New Roman" w:hAnsi="Times New Roman" w:cs="Times New Roman"/>
          <w:i/>
          <w:iCs/>
          <w:kern w:val="0"/>
          <w:sz w:val="20"/>
          <w:szCs w:val="20"/>
          <w14:ligatures w14:val="none"/>
        </w:rPr>
        <w:t>, meaning it rarely misidentifies a healthy firm as bankrupt.</w:t>
      </w:r>
    </w:p>
    <w:p w14:paraId="4FFF31C2" w14:textId="77777777" w:rsidR="007D1304" w:rsidRPr="007D1304" w:rsidRDefault="007D1304" w:rsidP="007D1304">
      <w:pPr>
        <w:numPr>
          <w:ilvl w:val="0"/>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b/>
          <w:bCs/>
          <w:i/>
          <w:iCs/>
          <w:kern w:val="0"/>
          <w:sz w:val="20"/>
          <w:szCs w:val="20"/>
          <w14:ligatures w14:val="none"/>
        </w:rPr>
        <w:t>XGBoost Model</w:t>
      </w:r>
      <w:r w:rsidRPr="007D1304">
        <w:rPr>
          <w:rFonts w:ascii="Times New Roman" w:eastAsia="Times New Roman" w:hAnsi="Times New Roman" w:cs="Times New Roman"/>
          <w:i/>
          <w:iCs/>
          <w:kern w:val="0"/>
          <w:sz w:val="20"/>
          <w:szCs w:val="20"/>
          <w14:ligatures w14:val="none"/>
        </w:rPr>
        <w:t>:</w:t>
      </w:r>
    </w:p>
    <w:p w14:paraId="0C24C0D0"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Identifies </w:t>
      </w:r>
      <w:r w:rsidRPr="007D1304">
        <w:rPr>
          <w:rFonts w:ascii="Times New Roman" w:eastAsia="Times New Roman" w:hAnsi="Times New Roman" w:cs="Times New Roman"/>
          <w:b/>
          <w:bCs/>
          <w:i/>
          <w:iCs/>
          <w:kern w:val="0"/>
          <w:sz w:val="20"/>
          <w:szCs w:val="20"/>
          <w14:ligatures w14:val="none"/>
        </w:rPr>
        <w:t>8,251</w:t>
      </w:r>
      <w:r w:rsidRPr="007D1304">
        <w:rPr>
          <w:rFonts w:ascii="Times New Roman" w:eastAsia="Times New Roman" w:hAnsi="Times New Roman" w:cs="Times New Roman"/>
          <w:i/>
          <w:iCs/>
          <w:kern w:val="0"/>
          <w:sz w:val="20"/>
          <w:szCs w:val="20"/>
          <w14:ligatures w14:val="none"/>
        </w:rPr>
        <w:t xml:space="preserve"> non-bankrupt firms correctly.</w:t>
      </w:r>
    </w:p>
    <w:p w14:paraId="79059D29"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Significantly improves in identifying bankrupt firms, with </w:t>
      </w:r>
      <w:r w:rsidRPr="007D1304">
        <w:rPr>
          <w:rFonts w:ascii="Times New Roman" w:eastAsia="Times New Roman" w:hAnsi="Times New Roman" w:cs="Times New Roman"/>
          <w:b/>
          <w:bCs/>
          <w:i/>
          <w:iCs/>
          <w:kern w:val="0"/>
          <w:sz w:val="20"/>
          <w:szCs w:val="20"/>
          <w14:ligatures w14:val="none"/>
        </w:rPr>
        <w:t>243 true positives and only 175 false negatives</w:t>
      </w:r>
      <w:r w:rsidRPr="007D1304">
        <w:rPr>
          <w:rFonts w:ascii="Times New Roman" w:eastAsia="Times New Roman" w:hAnsi="Times New Roman" w:cs="Times New Roman"/>
          <w:i/>
          <w:iCs/>
          <w:kern w:val="0"/>
          <w:sz w:val="20"/>
          <w:szCs w:val="20"/>
          <w14:ligatures w14:val="none"/>
        </w:rPr>
        <w:t xml:space="preserve">, </w:t>
      </w:r>
      <w:r w:rsidRPr="007D1304">
        <w:rPr>
          <w:rFonts w:ascii="Times New Roman" w:eastAsia="Times New Roman" w:hAnsi="Times New Roman" w:cs="Times New Roman"/>
          <w:b/>
          <w:bCs/>
          <w:i/>
          <w:iCs/>
          <w:kern w:val="0"/>
          <w:sz w:val="20"/>
          <w:szCs w:val="20"/>
          <w14:ligatures w14:val="none"/>
        </w:rPr>
        <w:t>reducing misclassification errors by 35% compared to RF</w:t>
      </w:r>
      <w:r w:rsidRPr="007D1304">
        <w:rPr>
          <w:rFonts w:ascii="Times New Roman" w:eastAsia="Times New Roman" w:hAnsi="Times New Roman" w:cs="Times New Roman"/>
          <w:i/>
          <w:iCs/>
          <w:kern w:val="0"/>
          <w:sz w:val="20"/>
          <w:szCs w:val="20"/>
          <w14:ligatures w14:val="none"/>
        </w:rPr>
        <w:t>.</w:t>
      </w:r>
    </w:p>
    <w:p w14:paraId="676B3789"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The </w:t>
      </w:r>
      <w:r w:rsidRPr="007D1304">
        <w:rPr>
          <w:rFonts w:ascii="Times New Roman" w:eastAsia="Times New Roman" w:hAnsi="Times New Roman" w:cs="Times New Roman"/>
          <w:b/>
          <w:bCs/>
          <w:i/>
          <w:iCs/>
          <w:kern w:val="0"/>
          <w:sz w:val="20"/>
          <w:szCs w:val="20"/>
          <w14:ligatures w14:val="none"/>
        </w:rPr>
        <w:t>false positive rate slightly increases</w:t>
      </w:r>
      <w:r w:rsidRPr="007D1304">
        <w:rPr>
          <w:rFonts w:ascii="Times New Roman" w:eastAsia="Times New Roman" w:hAnsi="Times New Roman" w:cs="Times New Roman"/>
          <w:i/>
          <w:iCs/>
          <w:kern w:val="0"/>
          <w:sz w:val="20"/>
          <w:szCs w:val="20"/>
          <w14:ligatures w14:val="none"/>
        </w:rPr>
        <w:t xml:space="preserve"> compared to RF, but this is an acceptable tradeoff in bankruptcy prediction where missing bankrupt firms is costlier than mistakenly flagging non-bankrupt ones.</w:t>
      </w:r>
    </w:p>
    <w:p w14:paraId="173E7689" w14:textId="77777777" w:rsidR="007D1304" w:rsidRPr="007D1304" w:rsidRDefault="007D1304"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Overall, </w:t>
      </w:r>
      <w:r w:rsidRPr="007D1304">
        <w:rPr>
          <w:rFonts w:ascii="Times New Roman" w:eastAsia="Times New Roman" w:hAnsi="Times New Roman" w:cs="Times New Roman"/>
          <w:b/>
          <w:bCs/>
          <w:i/>
          <w:iCs/>
          <w:kern w:val="0"/>
          <w:sz w:val="20"/>
          <w:szCs w:val="20"/>
          <w14:ligatures w14:val="none"/>
        </w:rPr>
        <w:t>XGBoost outperforms Random Forest in recall</w:t>
      </w:r>
      <w:r w:rsidRPr="007D1304">
        <w:rPr>
          <w:rFonts w:ascii="Times New Roman" w:eastAsia="Times New Roman" w:hAnsi="Times New Roman" w:cs="Times New Roman"/>
          <w:i/>
          <w:iCs/>
          <w:kern w:val="0"/>
          <w:sz w:val="20"/>
          <w:szCs w:val="20"/>
          <w14:ligatures w14:val="none"/>
        </w:rPr>
        <w:t xml:space="preserve">, meaning it better detects at-risk firms, which is </w:t>
      </w:r>
      <w:r w:rsidRPr="007D1304">
        <w:rPr>
          <w:rFonts w:ascii="Times New Roman" w:eastAsia="Times New Roman" w:hAnsi="Times New Roman" w:cs="Times New Roman"/>
          <w:b/>
          <w:bCs/>
          <w:i/>
          <w:iCs/>
          <w:kern w:val="0"/>
          <w:sz w:val="20"/>
          <w:szCs w:val="20"/>
          <w14:ligatures w14:val="none"/>
        </w:rPr>
        <w:t>critical for bankruptcy prediction models aimed at early intervention and risk mitigation</w:t>
      </w:r>
      <w:r w:rsidRPr="007D1304">
        <w:rPr>
          <w:rFonts w:ascii="Times New Roman" w:eastAsia="Times New Roman" w:hAnsi="Times New Roman" w:cs="Times New Roman"/>
          <w:i/>
          <w:iCs/>
          <w:kern w:val="0"/>
          <w:sz w:val="20"/>
          <w:szCs w:val="20"/>
          <w14:ligatures w14:val="none"/>
        </w:rPr>
        <w:t>.</w:t>
      </w:r>
    </w:p>
    <w:p w14:paraId="143E041F" w14:textId="52563199" w:rsidR="00E63827" w:rsidRPr="003D5AEC" w:rsidRDefault="00E63827" w:rsidP="003D5AEC">
      <w:pPr>
        <w:spacing w:before="100" w:beforeAutospacing="1" w:after="100" w:afterAutospacing="1" w:line="240" w:lineRule="auto"/>
        <w:rPr>
          <w:rFonts w:ascii="Times New Roman" w:eastAsia="Times New Roman" w:hAnsi="Times New Roman" w:cs="Times New Roman"/>
          <w:kern w:val="0"/>
          <w14:ligatures w14:val="none"/>
        </w:rPr>
      </w:pPr>
    </w:p>
    <w:p w14:paraId="3BF485B7" w14:textId="36B15EDB"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noProof/>
          <w:kern w:val="0"/>
          <w14:ligatures w14:val="none"/>
        </w:rPr>
        <mc:AlternateContent>
          <mc:Choice Requires="wps">
            <w:drawing>
              <wp:inline distT="0" distB="0" distL="0" distR="0" wp14:anchorId="29897751" wp14:editId="19B3198C">
                <wp:extent cx="308610" cy="308610"/>
                <wp:effectExtent l="0" t="0" r="0" b="0"/>
                <wp:docPr id="1225887272" name="AutoShape 18" descr="XGBoost 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D4A23" id="AutoShape 18" o:spid="_x0000_s1026" alt="XGBoost Confusion Matri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CE1390" w:rsidRPr="00CE1390">
        <w:rPr>
          <w:rFonts w:ascii="Times New Roman" w:eastAsia="Times New Roman" w:hAnsi="Times New Roman" w:cs="Times New Roman"/>
          <w:kern w:val="0"/>
          <w14:ligatures w14:val="none"/>
        </w:rPr>
        <w:pict w14:anchorId="7FCB560E">
          <v:rect id="_x0000_i1307" style="width:0;height:1.5pt" o:hralign="center" o:hrstd="t" o:hr="t" fillcolor="#a0a0a0" stroked="f"/>
        </w:pict>
      </w:r>
    </w:p>
    <w:p w14:paraId="2EBA8616"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Precision-Recall Tradeoff</w:t>
      </w:r>
    </w:p>
    <w:p w14:paraId="44B6D435"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To optimize bankruptcy prediction, we examined the precision-recall tradeoff at various decision thresholds. A threshold of 0.3 provides a balanced tradeoff between precision and recall.</w:t>
      </w:r>
    </w:p>
    <w:p w14:paraId="34F7C368"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4: Precision-Recall Curve</w:t>
      </w:r>
    </w:p>
    <w:p w14:paraId="46F9B3D5" w14:textId="24C390D8" w:rsidR="007D1304" w:rsidRPr="007D1304" w:rsidRDefault="007D1304" w:rsidP="003D5AEC">
      <w:pPr>
        <w:spacing w:before="100" w:beforeAutospacing="1" w:after="100" w:afterAutospacing="1" w:line="240" w:lineRule="auto"/>
        <w:rPr>
          <w:rFonts w:ascii="Times New Roman" w:eastAsia="Times New Roman" w:hAnsi="Times New Roman" w:cs="Times New Roman"/>
          <w:kern w:val="0"/>
          <w14:ligatures w14:val="none"/>
        </w:rPr>
      </w:pPr>
      <w:r w:rsidRPr="007D1304">
        <w:rPr>
          <w:rFonts w:ascii="Times New Roman" w:hAnsi="Times New Roman" w:cs="Times New Roman"/>
          <w:noProof/>
        </w:rPr>
        <w:drawing>
          <wp:inline distT="0" distB="0" distL="0" distR="0" wp14:anchorId="75D2AD9F" wp14:editId="4413453B">
            <wp:extent cx="5911702" cy="4033069"/>
            <wp:effectExtent l="0" t="0" r="0" b="5715"/>
            <wp:docPr id="1175733679" name="Picture 1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052" cy="4037401"/>
                    </a:xfrm>
                    <a:prstGeom prst="rect">
                      <a:avLst/>
                    </a:prstGeom>
                    <a:noFill/>
                    <a:ln>
                      <a:noFill/>
                    </a:ln>
                  </pic:spPr>
                </pic:pic>
              </a:graphicData>
            </a:graphic>
          </wp:inline>
        </w:drawing>
      </w:r>
    </w:p>
    <w:p w14:paraId="5FD6BD6D" w14:textId="77777777" w:rsidR="007D1304" w:rsidRPr="007D1304" w:rsidRDefault="007D1304"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b/>
          <w:bCs/>
          <w:i/>
          <w:iCs/>
          <w:kern w:val="0"/>
          <w:sz w:val="20"/>
          <w:szCs w:val="20"/>
          <w14:ligatures w14:val="none"/>
        </w:rPr>
        <w:t>Figure 4: Precision-Recall Curve</w:t>
      </w:r>
      <w:r w:rsidRPr="007D1304">
        <w:rPr>
          <w:rFonts w:ascii="Times New Roman" w:eastAsia="Times New Roman" w:hAnsi="Times New Roman" w:cs="Times New Roman"/>
          <w:i/>
          <w:iCs/>
          <w:kern w:val="0"/>
          <w:sz w:val="20"/>
          <w:szCs w:val="20"/>
          <w14:ligatures w14:val="none"/>
        </w:rPr>
        <w:t xml:space="preserve"> – This plot illustrates the tradeoff between precision and recall at varying decision thresholds. Precision (blue dashed line) measures the proportion of correctly identified bankrupt firms out of all predicted bankruptcies, while recall (red dashed line) represents the proportion of actual bankrupt firms that were correctly identified. As the decision threshold increases, precision improves at the cost of recall, meaning fewer false positives but more missed bankruptcies. A threshold of </w:t>
      </w:r>
      <w:r w:rsidRPr="007D1304">
        <w:rPr>
          <w:rFonts w:ascii="Times New Roman" w:eastAsia="Times New Roman" w:hAnsi="Times New Roman" w:cs="Times New Roman"/>
          <w:b/>
          <w:bCs/>
          <w:i/>
          <w:iCs/>
          <w:kern w:val="0"/>
          <w:sz w:val="20"/>
          <w:szCs w:val="20"/>
          <w14:ligatures w14:val="none"/>
        </w:rPr>
        <w:t>0.3</w:t>
      </w:r>
      <w:r w:rsidRPr="007D1304">
        <w:rPr>
          <w:rFonts w:ascii="Times New Roman" w:eastAsia="Times New Roman" w:hAnsi="Times New Roman" w:cs="Times New Roman"/>
          <w:i/>
          <w:iCs/>
          <w:kern w:val="0"/>
          <w:sz w:val="20"/>
          <w:szCs w:val="20"/>
          <w14:ligatures w14:val="none"/>
        </w:rPr>
        <w:t xml:space="preserve"> provides a balanced tradeoff, ensuring a reasonable recall rate while maintaining precision, making it an optimal choice for bankruptcy prediction where capturing at-risk firms is critical.</w:t>
      </w:r>
    </w:p>
    <w:p w14:paraId="2A193BF1" w14:textId="14DF2F8A" w:rsidR="00CB39AF" w:rsidRDefault="00CE1390" w:rsidP="003D5AEC">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5769E767">
          <v:rect id="_x0000_i1306" style="width:0;height:1.5pt" o:hralign="center" o:hrstd="t" o:hr="t" fillcolor="#a0a0a0" stroked="f"/>
        </w:pict>
      </w:r>
    </w:p>
    <w:p w14:paraId="20103191" w14:textId="15B70A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noProof/>
          <w:kern w:val="0"/>
          <w14:ligatures w14:val="none"/>
        </w:rPr>
        <mc:AlternateContent>
          <mc:Choice Requires="wps">
            <w:drawing>
              <wp:inline distT="0" distB="0" distL="0" distR="0" wp14:anchorId="06E7CF67" wp14:editId="060C5719">
                <wp:extent cx="308610" cy="308610"/>
                <wp:effectExtent l="0" t="0" r="0" b="0"/>
                <wp:docPr id="713137123" name="AutoShape 19" descr="Precision-Recall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3C0FA" id="AutoShape 19" o:spid="_x0000_s1026" alt="Precision-Recall Curv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84A57C7"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ROC AUC Score Comparison</w:t>
      </w:r>
    </w:p>
    <w:p w14:paraId="47162770"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Model performance was evaluated using the ROC AUC metric:</w:t>
      </w:r>
    </w:p>
    <w:p w14:paraId="37F3CBBB" w14:textId="77777777" w:rsidR="003D5AEC" w:rsidRPr="003D5AEC" w:rsidRDefault="003D5AEC" w:rsidP="003D5A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Random Forest</w:t>
      </w:r>
      <w:r w:rsidRPr="003D5AEC">
        <w:rPr>
          <w:rFonts w:ascii="Times New Roman" w:eastAsia="Times New Roman" w:hAnsi="Times New Roman" w:cs="Times New Roman"/>
          <w:kern w:val="0"/>
          <w14:ligatures w14:val="none"/>
        </w:rPr>
        <w:t>: 0.92</w:t>
      </w:r>
    </w:p>
    <w:p w14:paraId="1EDB88D2" w14:textId="77777777" w:rsidR="003D5AEC" w:rsidRPr="003D5AEC" w:rsidRDefault="003D5AEC" w:rsidP="003D5A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Gradient Boosting</w:t>
      </w:r>
      <w:r w:rsidRPr="003D5AEC">
        <w:rPr>
          <w:rFonts w:ascii="Times New Roman" w:eastAsia="Times New Roman" w:hAnsi="Times New Roman" w:cs="Times New Roman"/>
          <w:kern w:val="0"/>
          <w14:ligatures w14:val="none"/>
        </w:rPr>
        <w:t>: 0.96</w:t>
      </w:r>
    </w:p>
    <w:p w14:paraId="671CA97E" w14:textId="77777777" w:rsidR="003D5AEC" w:rsidRPr="003D5AEC" w:rsidRDefault="003D5AEC" w:rsidP="003D5A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XGBoost</w:t>
      </w:r>
      <w:r w:rsidRPr="003D5AEC">
        <w:rPr>
          <w:rFonts w:ascii="Times New Roman" w:eastAsia="Times New Roman" w:hAnsi="Times New Roman" w:cs="Times New Roman"/>
          <w:kern w:val="0"/>
          <w14:ligatures w14:val="none"/>
        </w:rPr>
        <w:t>: 0.98</w:t>
      </w:r>
    </w:p>
    <w:p w14:paraId="519F325F" w14:textId="77777777" w:rsid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results indicate that XGBoost is the strongest performer, achieving the highest AUC score and better distinguishing between bankrupt and non-bankrupt firms.</w:t>
      </w:r>
    </w:p>
    <w:p w14:paraId="61477CA2" w14:textId="1FA8AED3" w:rsidR="003857F0" w:rsidRPr="003D5AEC" w:rsidRDefault="00CE1390" w:rsidP="003D5AEC">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59D37126">
          <v:rect id="_x0000_i1305" style="width:0;height:1.5pt" o:hralign="center" o:hrstd="t" o:hr="t" fillcolor="#a0a0a0" stroked="f"/>
        </w:pict>
      </w:r>
    </w:p>
    <w:p w14:paraId="635C3A0E"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Feature Importance and Business Insights</w:t>
      </w:r>
    </w:p>
    <w:p w14:paraId="642C193B"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Key Financial Indicators</w:t>
      </w:r>
    </w:p>
    <w:p w14:paraId="0AD0C6BA"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Feature importance analysis using GBM and XGBoost highlights the following as the top predictors of bankruptcy:</w:t>
      </w:r>
    </w:p>
    <w:p w14:paraId="06647C54"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34</w:t>
      </w:r>
      <w:r w:rsidRPr="003D5AEC">
        <w:rPr>
          <w:rFonts w:ascii="Times New Roman" w:eastAsia="Times New Roman" w:hAnsi="Times New Roman" w:cs="Times New Roman"/>
          <w:kern w:val="0"/>
          <w14:ligatures w14:val="none"/>
        </w:rPr>
        <w:t>: Operating expenses / total liabilities</w:t>
      </w:r>
    </w:p>
    <w:p w14:paraId="5802632D"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27</w:t>
      </w:r>
      <w:r w:rsidRPr="003D5AEC">
        <w:rPr>
          <w:rFonts w:ascii="Times New Roman" w:eastAsia="Times New Roman" w:hAnsi="Times New Roman" w:cs="Times New Roman"/>
          <w:kern w:val="0"/>
          <w14:ligatures w14:val="none"/>
        </w:rPr>
        <w:t>: Profit on operating activities / financial expenses</w:t>
      </w:r>
    </w:p>
    <w:p w14:paraId="6EA3AC2E"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9</w:t>
      </w:r>
      <w:r w:rsidRPr="003D5AEC">
        <w:rPr>
          <w:rFonts w:ascii="Times New Roman" w:eastAsia="Times New Roman" w:hAnsi="Times New Roman" w:cs="Times New Roman"/>
          <w:kern w:val="0"/>
          <w14:ligatures w14:val="none"/>
        </w:rPr>
        <w:t>: Sales / total assets</w:t>
      </w:r>
    </w:p>
    <w:p w14:paraId="18116410"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46</w:t>
      </w:r>
      <w:r w:rsidRPr="003D5AEC">
        <w:rPr>
          <w:rFonts w:ascii="Times New Roman" w:eastAsia="Times New Roman" w:hAnsi="Times New Roman" w:cs="Times New Roman"/>
          <w:kern w:val="0"/>
          <w14:ligatures w14:val="none"/>
        </w:rPr>
        <w:t>: (Current assets - inventory) / short-term liabilities</w:t>
      </w:r>
    </w:p>
    <w:p w14:paraId="6E387D52"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5</w:t>
      </w:r>
      <w:r w:rsidRPr="003D5AEC">
        <w:rPr>
          <w:rFonts w:ascii="Times New Roman" w:eastAsia="Times New Roman" w:hAnsi="Times New Roman" w:cs="Times New Roman"/>
          <w:kern w:val="0"/>
          <w14:ligatures w14:val="none"/>
        </w:rPr>
        <w:t>: [(Cash + short-term securities + receivables - short-term liabilities) / (operating expenses - depreciation)] * 365</w:t>
      </w:r>
    </w:p>
    <w:p w14:paraId="082CA5E2"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6</w:t>
      </w:r>
      <w:r w:rsidRPr="003D5AEC">
        <w:rPr>
          <w:rFonts w:ascii="Times New Roman" w:eastAsia="Times New Roman" w:hAnsi="Times New Roman" w:cs="Times New Roman"/>
          <w:kern w:val="0"/>
          <w14:ligatures w14:val="none"/>
        </w:rPr>
        <w:t>: Retained earnings / total assets</w:t>
      </w:r>
    </w:p>
    <w:p w14:paraId="33E48294" w14:textId="77777777" w:rsidR="003D5AEC"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5: Feature Importance Analysis</w:t>
      </w:r>
    </w:p>
    <w:p w14:paraId="2AEA50C6" w14:textId="3E40DA33" w:rsidR="00CB39AF" w:rsidRDefault="00CB39AF" w:rsidP="003D5AEC">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25D32C2D" wp14:editId="3B4AC3A8">
            <wp:extent cx="5476875" cy="3695700"/>
            <wp:effectExtent l="0" t="0" r="9525" b="0"/>
            <wp:docPr id="191127429"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95700"/>
                    </a:xfrm>
                    <a:prstGeom prst="rect">
                      <a:avLst/>
                    </a:prstGeom>
                    <a:noFill/>
                    <a:ln>
                      <a:noFill/>
                    </a:ln>
                  </pic:spPr>
                </pic:pic>
              </a:graphicData>
            </a:graphic>
          </wp:inline>
        </w:drawing>
      </w:r>
    </w:p>
    <w:p w14:paraId="74593611" w14:textId="77777777" w:rsidR="00CB39AF" w:rsidRPr="00CB39AF" w:rsidRDefault="00CB39AF" w:rsidP="00CB39AF">
      <w:p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b/>
          <w:bCs/>
          <w:i/>
          <w:iCs/>
          <w:kern w:val="0"/>
          <w:sz w:val="20"/>
          <w:szCs w:val="20"/>
          <w14:ligatures w14:val="none"/>
        </w:rPr>
        <w:t>Figure 5: Feature Importance Analysis Using Gradient Boosting Classifier</w:t>
      </w:r>
    </w:p>
    <w:p w14:paraId="1D7C152D" w14:textId="77777777" w:rsidR="00CB39AF" w:rsidRPr="00CB39AF" w:rsidRDefault="00CB39AF" w:rsidP="00CB39AF">
      <w:p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i/>
          <w:iCs/>
          <w:kern w:val="0"/>
          <w:sz w:val="20"/>
          <w:szCs w:val="20"/>
          <w14:ligatures w14:val="none"/>
        </w:rPr>
        <w:t xml:space="preserve">This bar chart illustrates the top six most influential financial features for predicting bankruptcy, as identified by the </w:t>
      </w:r>
      <w:r w:rsidRPr="00CB39AF">
        <w:rPr>
          <w:rFonts w:ascii="Times New Roman" w:eastAsia="Times New Roman" w:hAnsi="Times New Roman" w:cs="Times New Roman"/>
          <w:b/>
          <w:bCs/>
          <w:i/>
          <w:iCs/>
          <w:kern w:val="0"/>
          <w:sz w:val="20"/>
          <w:szCs w:val="20"/>
          <w14:ligatures w14:val="none"/>
        </w:rPr>
        <w:t>Gradient Boosting Classifier</w:t>
      </w:r>
      <w:r w:rsidRPr="00CB39AF">
        <w:rPr>
          <w:rFonts w:ascii="Times New Roman" w:eastAsia="Times New Roman" w:hAnsi="Times New Roman" w:cs="Times New Roman"/>
          <w:i/>
          <w:iCs/>
          <w:kern w:val="0"/>
          <w:sz w:val="20"/>
          <w:szCs w:val="20"/>
          <w14:ligatures w14:val="none"/>
        </w:rPr>
        <w:t>. The importance of each feature is measured based on its contribution to the model's decision-making process.</w:t>
      </w:r>
    </w:p>
    <w:p w14:paraId="3C452183" w14:textId="77777777" w:rsidR="00CB39AF" w:rsidRPr="00CB39AF" w:rsidRDefault="00CB39AF" w:rsidP="00CB39AF">
      <w:pPr>
        <w:numPr>
          <w:ilvl w:val="0"/>
          <w:numId w:val="13"/>
        </w:num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b/>
          <w:bCs/>
          <w:i/>
          <w:iCs/>
          <w:kern w:val="0"/>
          <w:sz w:val="20"/>
          <w:szCs w:val="20"/>
          <w14:ligatures w14:val="none"/>
        </w:rPr>
        <w:t>Attr34 (Operating expenses / total liabilities)</w:t>
      </w:r>
      <w:r w:rsidRPr="00CB39AF">
        <w:rPr>
          <w:rFonts w:ascii="Times New Roman" w:eastAsia="Times New Roman" w:hAnsi="Times New Roman" w:cs="Times New Roman"/>
          <w:i/>
          <w:iCs/>
          <w:kern w:val="0"/>
          <w:sz w:val="20"/>
          <w:szCs w:val="20"/>
          <w14:ligatures w14:val="none"/>
        </w:rPr>
        <w:t xml:space="preserve"> is the most significant predictor, indicating that firms with excessive operating expenses relative to their liabilities are at high risk of bankruptcy.</w:t>
      </w:r>
    </w:p>
    <w:p w14:paraId="432360FA" w14:textId="77777777" w:rsidR="00CB39AF" w:rsidRPr="00CB39AF" w:rsidRDefault="00CB39AF" w:rsidP="00CB39AF">
      <w:pPr>
        <w:numPr>
          <w:ilvl w:val="0"/>
          <w:numId w:val="13"/>
        </w:num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b/>
          <w:bCs/>
          <w:i/>
          <w:iCs/>
          <w:kern w:val="0"/>
          <w:sz w:val="20"/>
          <w:szCs w:val="20"/>
          <w14:ligatures w14:val="none"/>
        </w:rPr>
        <w:t>Attr27 (Profit on operating activities / financial expenses)</w:t>
      </w:r>
      <w:r w:rsidRPr="00CB39AF">
        <w:rPr>
          <w:rFonts w:ascii="Times New Roman" w:eastAsia="Times New Roman" w:hAnsi="Times New Roman" w:cs="Times New Roman"/>
          <w:i/>
          <w:iCs/>
          <w:kern w:val="0"/>
          <w:sz w:val="20"/>
          <w:szCs w:val="20"/>
          <w14:ligatures w14:val="none"/>
        </w:rPr>
        <w:t xml:space="preserve"> highlights the impact of financial leverage, with lower profitability relative to financial obligations correlating with distress.</w:t>
      </w:r>
    </w:p>
    <w:p w14:paraId="3F4C2E1D" w14:textId="77777777" w:rsidR="00CB39AF" w:rsidRPr="00CB39AF" w:rsidRDefault="00CB39AF" w:rsidP="00CB39AF">
      <w:pPr>
        <w:numPr>
          <w:ilvl w:val="0"/>
          <w:numId w:val="13"/>
        </w:num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b/>
          <w:bCs/>
          <w:i/>
          <w:iCs/>
          <w:kern w:val="0"/>
          <w:sz w:val="20"/>
          <w:szCs w:val="20"/>
          <w14:ligatures w14:val="none"/>
        </w:rPr>
        <w:t>Attr9 (Sales / total assets)</w:t>
      </w:r>
      <w:r w:rsidRPr="00CB39AF">
        <w:rPr>
          <w:rFonts w:ascii="Times New Roman" w:eastAsia="Times New Roman" w:hAnsi="Times New Roman" w:cs="Times New Roman"/>
          <w:i/>
          <w:iCs/>
          <w:kern w:val="0"/>
          <w:sz w:val="20"/>
          <w:szCs w:val="20"/>
          <w14:ligatures w14:val="none"/>
        </w:rPr>
        <w:t xml:space="preserve"> serves as an indicator of asset efficiency and liquidity management.</w:t>
      </w:r>
    </w:p>
    <w:p w14:paraId="6891D976" w14:textId="77777777" w:rsidR="00CB39AF" w:rsidRPr="00CB39AF" w:rsidRDefault="00CB39AF" w:rsidP="00CB39AF">
      <w:pPr>
        <w:numPr>
          <w:ilvl w:val="0"/>
          <w:numId w:val="13"/>
        </w:num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b/>
          <w:bCs/>
          <w:i/>
          <w:iCs/>
          <w:kern w:val="0"/>
          <w:sz w:val="20"/>
          <w:szCs w:val="20"/>
          <w14:ligatures w14:val="none"/>
        </w:rPr>
        <w:t>Attr46 ((Current assets - inventory) / short-term liabilities)</w:t>
      </w:r>
      <w:r w:rsidRPr="00CB39AF">
        <w:rPr>
          <w:rFonts w:ascii="Times New Roman" w:eastAsia="Times New Roman" w:hAnsi="Times New Roman" w:cs="Times New Roman"/>
          <w:i/>
          <w:iCs/>
          <w:kern w:val="0"/>
          <w:sz w:val="20"/>
          <w:szCs w:val="20"/>
          <w14:ligatures w14:val="none"/>
        </w:rPr>
        <w:t xml:space="preserve"> reflects a firm's ability to cover its immediate obligations.</w:t>
      </w:r>
    </w:p>
    <w:p w14:paraId="3E507648" w14:textId="77777777" w:rsidR="00CB39AF" w:rsidRPr="00CB39AF" w:rsidRDefault="00CB39AF" w:rsidP="00CB39AF">
      <w:pPr>
        <w:numPr>
          <w:ilvl w:val="0"/>
          <w:numId w:val="13"/>
        </w:num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b/>
          <w:bCs/>
          <w:i/>
          <w:iCs/>
          <w:kern w:val="0"/>
          <w:sz w:val="20"/>
          <w:szCs w:val="20"/>
          <w14:ligatures w14:val="none"/>
        </w:rPr>
        <w:t>Attr5 ([(Cash + short-term securities + receivables - short-term liabilities) / (operating expenses - depreciation)] * 365)</w:t>
      </w:r>
      <w:r w:rsidRPr="00CB39AF">
        <w:rPr>
          <w:rFonts w:ascii="Times New Roman" w:eastAsia="Times New Roman" w:hAnsi="Times New Roman" w:cs="Times New Roman"/>
          <w:i/>
          <w:iCs/>
          <w:kern w:val="0"/>
          <w:sz w:val="20"/>
          <w:szCs w:val="20"/>
          <w14:ligatures w14:val="none"/>
        </w:rPr>
        <w:t xml:space="preserve"> measures cash flow sustainability.</w:t>
      </w:r>
    </w:p>
    <w:p w14:paraId="2FD69002" w14:textId="77777777" w:rsidR="00CB39AF" w:rsidRPr="00CB39AF" w:rsidRDefault="00CB39AF" w:rsidP="00CB39AF">
      <w:pPr>
        <w:numPr>
          <w:ilvl w:val="0"/>
          <w:numId w:val="13"/>
        </w:num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b/>
          <w:bCs/>
          <w:i/>
          <w:iCs/>
          <w:kern w:val="0"/>
          <w:sz w:val="20"/>
          <w:szCs w:val="20"/>
          <w14:ligatures w14:val="none"/>
        </w:rPr>
        <w:t>Attr6 (Retained earnings / total assets)</w:t>
      </w:r>
      <w:r w:rsidRPr="00CB39AF">
        <w:rPr>
          <w:rFonts w:ascii="Times New Roman" w:eastAsia="Times New Roman" w:hAnsi="Times New Roman" w:cs="Times New Roman"/>
          <w:i/>
          <w:iCs/>
          <w:kern w:val="0"/>
          <w:sz w:val="20"/>
          <w:szCs w:val="20"/>
          <w14:ligatures w14:val="none"/>
        </w:rPr>
        <w:t xml:space="preserve"> assesses a company's reinvestment strategy and long-term stability.</w:t>
      </w:r>
    </w:p>
    <w:p w14:paraId="555F6D20" w14:textId="77777777" w:rsidR="00CB39AF" w:rsidRPr="00CB39AF" w:rsidRDefault="00CB39AF" w:rsidP="00CB39AF">
      <w:pPr>
        <w:spacing w:after="0" w:line="240" w:lineRule="auto"/>
        <w:rPr>
          <w:rFonts w:ascii="Times New Roman" w:eastAsia="Times New Roman" w:hAnsi="Times New Roman" w:cs="Times New Roman"/>
          <w:i/>
          <w:iCs/>
          <w:kern w:val="0"/>
          <w:sz w:val="20"/>
          <w:szCs w:val="20"/>
          <w14:ligatures w14:val="none"/>
        </w:rPr>
      </w:pPr>
      <w:r w:rsidRPr="00CB39AF">
        <w:rPr>
          <w:rFonts w:ascii="Times New Roman" w:eastAsia="Times New Roman" w:hAnsi="Times New Roman" w:cs="Times New Roman"/>
          <w:i/>
          <w:iCs/>
          <w:kern w:val="0"/>
          <w:sz w:val="20"/>
          <w:szCs w:val="20"/>
          <w14:ligatures w14:val="none"/>
        </w:rPr>
        <w:t>These features provide valuable insights into financial health, aiding risk analysts and investors in early bankruptcy detection.</w:t>
      </w:r>
    </w:p>
    <w:p w14:paraId="5E55DB32" w14:textId="18BA8F63" w:rsidR="00CB39AF" w:rsidRPr="003D5AEC" w:rsidRDefault="00CE1390" w:rsidP="003D5AEC">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4786C82F">
          <v:rect id="_x0000_i1304" style="width:0;height:1.5pt" o:hralign="center" o:hrstd="t" o:hr="t" fillcolor="#a0a0a0" stroked="f"/>
        </w:pict>
      </w:r>
    </w:p>
    <w:p w14:paraId="60723970"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noProof/>
          <w:kern w:val="0"/>
          <w14:ligatures w14:val="none"/>
        </w:rPr>
        <mc:AlternateContent>
          <mc:Choice Requires="wps">
            <w:drawing>
              <wp:inline distT="0" distB="0" distL="0" distR="0" wp14:anchorId="227601CC" wp14:editId="242FACED">
                <wp:extent cx="308610" cy="308610"/>
                <wp:effectExtent l="0" t="0" r="0" b="0"/>
                <wp:docPr id="533169192" name="AutoShape 20" descr="Feature Importance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97D4F" id="AutoShape 20" o:spid="_x0000_s1026" alt="Feature Importance Analysi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9125714"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Business Interpretation</w:t>
      </w:r>
    </w:p>
    <w:p w14:paraId="6FA3687D"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High operating expenses relative to total liabilities</w:t>
      </w:r>
      <w:r w:rsidRPr="003D5AEC">
        <w:rPr>
          <w:rFonts w:ascii="Times New Roman" w:eastAsia="Times New Roman" w:hAnsi="Times New Roman" w:cs="Times New Roman"/>
          <w:kern w:val="0"/>
          <w14:ligatures w14:val="none"/>
        </w:rPr>
        <w:t xml:space="preserve"> indicate financial inefficiencies, contributing significantly to bankruptcy risk.</w:t>
      </w:r>
    </w:p>
    <w:p w14:paraId="6AEC7586"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Low profit on operating activities relative to financial expenses</w:t>
      </w:r>
      <w:r w:rsidRPr="003D5AEC">
        <w:rPr>
          <w:rFonts w:ascii="Times New Roman" w:eastAsia="Times New Roman" w:hAnsi="Times New Roman" w:cs="Times New Roman"/>
          <w:kern w:val="0"/>
          <w14:ligatures w14:val="none"/>
        </w:rPr>
        <w:t xml:space="preserve"> suggests debt burdens that firms struggle to manage.</w:t>
      </w:r>
    </w:p>
    <w:p w14:paraId="0C658819"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Sales relative to total assets</w:t>
      </w:r>
      <w:r w:rsidRPr="003D5AEC">
        <w:rPr>
          <w:rFonts w:ascii="Times New Roman" w:eastAsia="Times New Roman" w:hAnsi="Times New Roman" w:cs="Times New Roman"/>
          <w:kern w:val="0"/>
          <w14:ligatures w14:val="none"/>
        </w:rPr>
        <w:t xml:space="preserve"> serves as an indicator of liquidity and asset efficiency.</w:t>
      </w:r>
    </w:p>
    <w:p w14:paraId="2E22E8A5"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Current assets minus inventory over short-term liabilities</w:t>
      </w:r>
      <w:r w:rsidRPr="003D5AEC">
        <w:rPr>
          <w:rFonts w:ascii="Times New Roman" w:eastAsia="Times New Roman" w:hAnsi="Times New Roman" w:cs="Times New Roman"/>
          <w:kern w:val="0"/>
          <w14:ligatures w14:val="none"/>
        </w:rPr>
        <w:t xml:space="preserve"> represents a firm’s ability to cover immediate obligations.</w:t>
      </w:r>
    </w:p>
    <w:p w14:paraId="0C43D950"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Cash flow sustainability</w:t>
      </w:r>
      <w:r w:rsidRPr="003D5AEC">
        <w:rPr>
          <w:rFonts w:ascii="Times New Roman" w:eastAsia="Times New Roman" w:hAnsi="Times New Roman" w:cs="Times New Roman"/>
          <w:kern w:val="0"/>
          <w14:ligatures w14:val="none"/>
        </w:rPr>
        <w:t>, as indicated by Attribute 5, measures how well firms maintain liquidity.</w:t>
      </w:r>
    </w:p>
    <w:p w14:paraId="4E82B0DD" w14:textId="0225D82C" w:rsidR="00CE1390" w:rsidRPr="00CE1390" w:rsidRDefault="003D5AEC" w:rsidP="00CE13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Retained earnings over total assets</w:t>
      </w:r>
      <w:r w:rsidRPr="003D5AEC">
        <w:rPr>
          <w:rFonts w:ascii="Times New Roman" w:eastAsia="Times New Roman" w:hAnsi="Times New Roman" w:cs="Times New Roman"/>
          <w:kern w:val="0"/>
          <w14:ligatures w14:val="none"/>
        </w:rPr>
        <w:t xml:space="preserve"> show how much of a company’s profits are reinvested, influencing long-term stability.</w:t>
      </w:r>
    </w:p>
    <w:p w14:paraId="1251F45E" w14:textId="77777777" w:rsidR="00CE1390" w:rsidRPr="00CE1390" w:rsidRDefault="00CE1390" w:rsidP="00CE1390">
      <w:pPr>
        <w:spacing w:after="0" w:line="240" w:lineRule="auto"/>
        <w:rPr>
          <w:rFonts w:ascii="Times New Roman" w:eastAsia="Times New Roman" w:hAnsi="Times New Roman" w:cs="Times New Roman"/>
          <w:kern w:val="0"/>
          <w14:ligatures w14:val="none"/>
        </w:rPr>
      </w:pPr>
      <w:bookmarkStart w:id="0" w:name="_Hlk191940523"/>
      <w:r w:rsidRPr="00CE1390">
        <w:rPr>
          <w:rFonts w:ascii="Times New Roman" w:eastAsia="Times New Roman" w:hAnsi="Times New Roman" w:cs="Times New Roman"/>
          <w:kern w:val="0"/>
          <w14:ligatures w14:val="none"/>
        </w:rPr>
        <w:pict w14:anchorId="05750704">
          <v:rect id="_x0000_i1283" style="width:0;height:1.5pt" o:hralign="center" o:hrstd="t" o:hr="t" fillcolor="#a0a0a0" stroked="f"/>
        </w:pict>
      </w:r>
    </w:p>
    <w:p w14:paraId="6D1868FA"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Best Performing Model</w:t>
      </w:r>
    </w:p>
    <w:p w14:paraId="5C802CD0"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w:t>
      </w:r>
      <w:r w:rsidRPr="00CE1390">
        <w:rPr>
          <w:rFonts w:ascii="Times New Roman" w:eastAsia="Times New Roman" w:hAnsi="Times New Roman" w:cs="Times New Roman"/>
          <w:b/>
          <w:bCs/>
          <w:kern w:val="0"/>
          <w14:ligatures w14:val="none"/>
        </w:rPr>
        <w:t>XGBoost model</w:t>
      </w:r>
      <w:r w:rsidRPr="00CE1390">
        <w:rPr>
          <w:rFonts w:ascii="Times New Roman" w:eastAsia="Times New Roman" w:hAnsi="Times New Roman" w:cs="Times New Roman"/>
          <w:kern w:val="0"/>
          <w14:ligatures w14:val="none"/>
        </w:rPr>
        <w:t xml:space="preserve"> demonstrated superior performance in predicting bankruptcy, outperforming </w:t>
      </w:r>
      <w:r w:rsidRPr="00CE1390">
        <w:rPr>
          <w:rFonts w:ascii="Times New Roman" w:eastAsia="Times New Roman" w:hAnsi="Times New Roman" w:cs="Times New Roman"/>
          <w:b/>
          <w:bCs/>
          <w:kern w:val="0"/>
          <w14:ligatures w14:val="none"/>
        </w:rPr>
        <w:t>Random Forest (RF) and Gradient Boosting Machine (GBM)</w:t>
      </w:r>
      <w:r w:rsidRPr="00CE1390">
        <w:rPr>
          <w:rFonts w:ascii="Times New Roman" w:eastAsia="Times New Roman" w:hAnsi="Times New Roman" w:cs="Times New Roman"/>
          <w:kern w:val="0"/>
          <w14:ligatures w14:val="none"/>
        </w:rPr>
        <w:t xml:space="preserve">. This conclusion was based on multiple evaluation metrics, including the </w:t>
      </w:r>
      <w:r w:rsidRPr="00CE1390">
        <w:rPr>
          <w:rFonts w:ascii="Times New Roman" w:eastAsia="Times New Roman" w:hAnsi="Times New Roman" w:cs="Times New Roman"/>
          <w:b/>
          <w:bCs/>
          <w:kern w:val="0"/>
          <w14:ligatures w14:val="none"/>
        </w:rPr>
        <w:t>ROC AUC score, confusion matrix analysis, and precision-recall tradeoff.</w:t>
      </w:r>
    </w:p>
    <w:p w14:paraId="3C441A47" w14:textId="77777777" w:rsidR="00CE1390" w:rsidRPr="00CE1390" w:rsidRDefault="00CE1390" w:rsidP="00CE13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 achieved the highest ROC AUC score (0.98),</w:t>
      </w:r>
      <w:r w:rsidRPr="00CE1390">
        <w:rPr>
          <w:rFonts w:ascii="Times New Roman" w:eastAsia="Times New Roman" w:hAnsi="Times New Roman" w:cs="Times New Roman"/>
          <w:kern w:val="0"/>
          <w14:ligatures w14:val="none"/>
        </w:rPr>
        <w:t xml:space="preserve"> indicating a superior ability to distinguish between bankrupt and non-bankrupt firms.</w:t>
      </w:r>
    </w:p>
    <w:p w14:paraId="1BB0F328" w14:textId="77777777" w:rsidR="00CE1390" w:rsidRPr="00CE1390" w:rsidRDefault="00CE1390" w:rsidP="00CE13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It demonstrated the best balance between </w:t>
      </w:r>
      <w:r w:rsidRPr="00CE1390">
        <w:rPr>
          <w:rFonts w:ascii="Times New Roman" w:eastAsia="Times New Roman" w:hAnsi="Times New Roman" w:cs="Times New Roman"/>
          <w:b/>
          <w:bCs/>
          <w:kern w:val="0"/>
          <w14:ligatures w14:val="none"/>
        </w:rPr>
        <w:t>precision and recall,</w:t>
      </w:r>
      <w:r w:rsidRPr="00CE1390">
        <w:rPr>
          <w:rFonts w:ascii="Times New Roman" w:eastAsia="Times New Roman" w:hAnsi="Times New Roman" w:cs="Times New Roman"/>
          <w:kern w:val="0"/>
          <w14:ligatures w14:val="none"/>
        </w:rPr>
        <w:t xml:space="preserve"> minimizing both </w:t>
      </w:r>
      <w:r w:rsidRPr="00CE1390">
        <w:rPr>
          <w:rFonts w:ascii="Times New Roman" w:eastAsia="Times New Roman" w:hAnsi="Times New Roman" w:cs="Times New Roman"/>
          <w:b/>
          <w:bCs/>
          <w:kern w:val="0"/>
          <w14:ligatures w14:val="none"/>
        </w:rPr>
        <w:t>false positives</w:t>
      </w:r>
      <w:r w:rsidRPr="00CE1390">
        <w:rPr>
          <w:rFonts w:ascii="Times New Roman" w:eastAsia="Times New Roman" w:hAnsi="Times New Roman" w:cs="Times New Roman"/>
          <w:kern w:val="0"/>
          <w14:ligatures w14:val="none"/>
        </w:rPr>
        <w:t xml:space="preserve"> (incorrect bankruptcy predictions) and </w:t>
      </w:r>
      <w:r w:rsidRPr="00CE1390">
        <w:rPr>
          <w:rFonts w:ascii="Times New Roman" w:eastAsia="Times New Roman" w:hAnsi="Times New Roman" w:cs="Times New Roman"/>
          <w:b/>
          <w:bCs/>
          <w:kern w:val="0"/>
          <w14:ligatures w14:val="none"/>
        </w:rPr>
        <w:t>false negatives</w:t>
      </w:r>
      <w:r w:rsidRPr="00CE1390">
        <w:rPr>
          <w:rFonts w:ascii="Times New Roman" w:eastAsia="Times New Roman" w:hAnsi="Times New Roman" w:cs="Times New Roman"/>
          <w:kern w:val="0"/>
          <w14:ligatures w14:val="none"/>
        </w:rPr>
        <w:t xml:space="preserve"> (missed bankruptcies).</w:t>
      </w:r>
    </w:p>
    <w:p w14:paraId="6E6D0571" w14:textId="77777777" w:rsidR="00CE1390" w:rsidRPr="00CE1390" w:rsidRDefault="00CE1390" w:rsidP="00CE13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w:t>
      </w:r>
      <w:r w:rsidRPr="00CE1390">
        <w:rPr>
          <w:rFonts w:ascii="Times New Roman" w:eastAsia="Times New Roman" w:hAnsi="Times New Roman" w:cs="Times New Roman"/>
          <w:b/>
          <w:bCs/>
          <w:kern w:val="0"/>
          <w14:ligatures w14:val="none"/>
        </w:rPr>
        <w:t>confusion matrix analysis</w:t>
      </w:r>
      <w:r w:rsidRPr="00CE1390">
        <w:rPr>
          <w:rFonts w:ascii="Times New Roman" w:eastAsia="Times New Roman" w:hAnsi="Times New Roman" w:cs="Times New Roman"/>
          <w:kern w:val="0"/>
          <w14:ligatures w14:val="none"/>
        </w:rPr>
        <w:t xml:space="preserve"> revealed that XGBoost had the </w:t>
      </w:r>
      <w:r w:rsidRPr="00CE1390">
        <w:rPr>
          <w:rFonts w:ascii="Times New Roman" w:eastAsia="Times New Roman" w:hAnsi="Times New Roman" w:cs="Times New Roman"/>
          <w:b/>
          <w:bCs/>
          <w:kern w:val="0"/>
          <w14:ligatures w14:val="none"/>
        </w:rPr>
        <w:t>lowest misclassification rate</w:t>
      </w:r>
      <w:r w:rsidRPr="00CE1390">
        <w:rPr>
          <w:rFonts w:ascii="Times New Roman" w:eastAsia="Times New Roman" w:hAnsi="Times New Roman" w:cs="Times New Roman"/>
          <w:kern w:val="0"/>
          <w14:ligatures w14:val="none"/>
        </w:rPr>
        <w:t xml:space="preserve"> compared to RF and GBM, making it the most reliable model for real-world applications.</w:t>
      </w:r>
    </w:p>
    <w:p w14:paraId="6776BDEE" w14:textId="77777777" w:rsidR="00CE1390" w:rsidRPr="00CE1390" w:rsidRDefault="00CE1390" w:rsidP="00CE1390">
      <w:pPr>
        <w:spacing w:after="0"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759AE6E9">
          <v:rect id="_x0000_i1284" style="width:0;height:1.5pt" o:hralign="center" o:hrstd="t" o:hr="t" fillcolor="#a0a0a0" stroked="f"/>
        </w:pict>
      </w:r>
    </w:p>
    <w:p w14:paraId="5161334B"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Why XGBoost Performed Best?</w:t>
      </w:r>
    </w:p>
    <w:p w14:paraId="18F9AA4D"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1. Handling of Imbalanced Data</w:t>
      </w:r>
    </w:p>
    <w:p w14:paraId="3D070E96" w14:textId="77777777" w:rsidR="00CE1390" w:rsidRPr="00CE1390" w:rsidRDefault="00CE1390" w:rsidP="00CE139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dataset exhibited a severe </w:t>
      </w:r>
      <w:r w:rsidRPr="00CE1390">
        <w:rPr>
          <w:rFonts w:ascii="Times New Roman" w:eastAsia="Times New Roman" w:hAnsi="Times New Roman" w:cs="Times New Roman"/>
          <w:b/>
          <w:bCs/>
          <w:kern w:val="0"/>
          <w14:ligatures w14:val="none"/>
        </w:rPr>
        <w:t>class imbalance,</w:t>
      </w:r>
      <w:r w:rsidRPr="00CE1390">
        <w:rPr>
          <w:rFonts w:ascii="Times New Roman" w:eastAsia="Times New Roman" w:hAnsi="Times New Roman" w:cs="Times New Roman"/>
          <w:kern w:val="0"/>
          <w14:ligatures w14:val="none"/>
        </w:rPr>
        <w:t xml:space="preserve"> with bankrupt firms representing a small fraction of the total cases.</w:t>
      </w:r>
    </w:p>
    <w:p w14:paraId="52C75653" w14:textId="77777777" w:rsidR="00CE1390" w:rsidRPr="00CE1390" w:rsidRDefault="00CE1390" w:rsidP="00CE139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XGBoost’s boosting techniques and regularization</w:t>
      </w:r>
      <w:r w:rsidRPr="00CE1390">
        <w:rPr>
          <w:rFonts w:ascii="Times New Roman" w:eastAsia="Times New Roman" w:hAnsi="Times New Roman" w:cs="Times New Roman"/>
          <w:kern w:val="0"/>
          <w14:ligatures w14:val="none"/>
        </w:rPr>
        <w:t xml:space="preserve"> allowed it to focus on the minority class, improving its ability to detect bankruptcies.</w:t>
      </w:r>
    </w:p>
    <w:p w14:paraId="44479315"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2. Feature Selection &amp; Importance</w:t>
      </w:r>
    </w:p>
    <w:p w14:paraId="08E259CF" w14:textId="77777777" w:rsidR="00CE1390" w:rsidRPr="00CE1390" w:rsidRDefault="00CE1390" w:rsidP="00CE13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XGBoost </w:t>
      </w:r>
      <w:r w:rsidRPr="00CE1390">
        <w:rPr>
          <w:rFonts w:ascii="Times New Roman" w:eastAsia="Times New Roman" w:hAnsi="Times New Roman" w:cs="Times New Roman"/>
          <w:b/>
          <w:bCs/>
          <w:kern w:val="0"/>
          <w14:ligatures w14:val="none"/>
        </w:rPr>
        <w:t>automatically prioritizes the most informative features</w:t>
      </w:r>
      <w:r w:rsidRPr="00CE1390">
        <w:rPr>
          <w:rFonts w:ascii="Times New Roman" w:eastAsia="Times New Roman" w:hAnsi="Times New Roman" w:cs="Times New Roman"/>
          <w:kern w:val="0"/>
          <w14:ligatures w14:val="none"/>
        </w:rPr>
        <w:t>, reducing noise and enhancing predictive accuracy.</w:t>
      </w:r>
    </w:p>
    <w:p w14:paraId="6E9C111F" w14:textId="77777777" w:rsidR="00CE1390" w:rsidRPr="00CE1390" w:rsidRDefault="00CE1390" w:rsidP="00CE13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most important features included </w:t>
      </w:r>
      <w:r w:rsidRPr="00CE1390">
        <w:rPr>
          <w:rFonts w:ascii="Times New Roman" w:eastAsia="Times New Roman" w:hAnsi="Times New Roman" w:cs="Times New Roman"/>
          <w:b/>
          <w:bCs/>
          <w:kern w:val="0"/>
          <w14:ligatures w14:val="none"/>
        </w:rPr>
        <w:t>operating expenses relative to liabilities, profitability metrics, and cash flow ratios</w:t>
      </w:r>
      <w:r w:rsidRPr="00CE1390">
        <w:rPr>
          <w:rFonts w:ascii="Times New Roman" w:eastAsia="Times New Roman" w:hAnsi="Times New Roman" w:cs="Times New Roman"/>
          <w:kern w:val="0"/>
          <w14:ligatures w14:val="none"/>
        </w:rPr>
        <w:t>, which align with traditional financial risk assessment models.</w:t>
      </w:r>
    </w:p>
    <w:p w14:paraId="7449B191"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3. Hyperparameter Optimization &amp; Flexibility</w:t>
      </w:r>
    </w:p>
    <w:p w14:paraId="4A2E09AD" w14:textId="77777777" w:rsidR="00CE1390" w:rsidRPr="00CE1390" w:rsidRDefault="00CE1390" w:rsidP="00CE13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Hyperparameter tuning via RandomizedSearchCV</w:t>
      </w:r>
      <w:r w:rsidRPr="00CE1390">
        <w:rPr>
          <w:rFonts w:ascii="Times New Roman" w:eastAsia="Times New Roman" w:hAnsi="Times New Roman" w:cs="Times New Roman"/>
          <w:kern w:val="0"/>
          <w14:ligatures w14:val="none"/>
        </w:rPr>
        <w:t xml:space="preserve"> optimized </w:t>
      </w:r>
      <w:r w:rsidRPr="00CE1390">
        <w:rPr>
          <w:rFonts w:ascii="Times New Roman" w:eastAsia="Times New Roman" w:hAnsi="Times New Roman" w:cs="Times New Roman"/>
          <w:b/>
          <w:bCs/>
          <w:kern w:val="0"/>
          <w14:ligatures w14:val="none"/>
        </w:rPr>
        <w:t>learning rate, max depth, and regularization parameters</w:t>
      </w:r>
      <w:r w:rsidRPr="00CE1390">
        <w:rPr>
          <w:rFonts w:ascii="Times New Roman" w:eastAsia="Times New Roman" w:hAnsi="Times New Roman" w:cs="Times New Roman"/>
          <w:kern w:val="0"/>
          <w14:ligatures w14:val="none"/>
        </w:rPr>
        <w:t>, improving performance over standard ensemble models like Random Forest.</w:t>
      </w:r>
    </w:p>
    <w:p w14:paraId="63361161" w14:textId="77777777" w:rsidR="00CE1390" w:rsidRPr="00CE1390" w:rsidRDefault="00CE1390" w:rsidP="00CE13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XGBoost’s adaptive learning strategy helped </w:t>
      </w:r>
      <w:r w:rsidRPr="00CE1390">
        <w:rPr>
          <w:rFonts w:ascii="Times New Roman" w:eastAsia="Times New Roman" w:hAnsi="Times New Roman" w:cs="Times New Roman"/>
          <w:b/>
          <w:bCs/>
          <w:kern w:val="0"/>
          <w14:ligatures w14:val="none"/>
        </w:rPr>
        <w:t>refine predictions with each iteration</w:t>
      </w:r>
      <w:r w:rsidRPr="00CE1390">
        <w:rPr>
          <w:rFonts w:ascii="Times New Roman" w:eastAsia="Times New Roman" w:hAnsi="Times New Roman" w:cs="Times New Roman"/>
          <w:kern w:val="0"/>
          <w14:ligatures w14:val="none"/>
        </w:rPr>
        <w:t>, making it more robust in identifying patterns associated with financial distress.</w:t>
      </w:r>
    </w:p>
    <w:p w14:paraId="2C45A6C8" w14:textId="77777777" w:rsidR="00CE1390" w:rsidRPr="00CE1390" w:rsidRDefault="00CE1390" w:rsidP="00CE1390">
      <w:pPr>
        <w:spacing w:after="0"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52997D44">
          <v:rect id="_x0000_i1285" style="width:0;height:1.5pt" o:hralign="center" o:hrstd="t" o:hr="t" fillcolor="#a0a0a0" stroked="f"/>
        </w:pict>
      </w:r>
    </w:p>
    <w:p w14:paraId="071C19C1"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Considerations and Limitations</w:t>
      </w:r>
    </w:p>
    <w:p w14:paraId="5C14C572"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1. Model Interpretability</w:t>
      </w:r>
    </w:p>
    <w:p w14:paraId="23E7996E" w14:textId="77777777" w:rsidR="00CE1390" w:rsidRPr="00CE1390" w:rsidRDefault="00CE1390" w:rsidP="00CE13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While </w:t>
      </w:r>
      <w:r w:rsidRPr="00CE1390">
        <w:rPr>
          <w:rFonts w:ascii="Times New Roman" w:eastAsia="Times New Roman" w:hAnsi="Times New Roman" w:cs="Times New Roman"/>
          <w:b/>
          <w:bCs/>
          <w:kern w:val="0"/>
          <w14:ligatures w14:val="none"/>
        </w:rPr>
        <w:t>XGBoost provides high accuracy,</w:t>
      </w:r>
      <w:r w:rsidRPr="00CE1390">
        <w:rPr>
          <w:rFonts w:ascii="Times New Roman" w:eastAsia="Times New Roman" w:hAnsi="Times New Roman" w:cs="Times New Roman"/>
          <w:kern w:val="0"/>
          <w14:ligatures w14:val="none"/>
        </w:rPr>
        <w:t xml:space="preserve"> it is less interpretable than simpler models like </w:t>
      </w:r>
      <w:r w:rsidRPr="00CE1390">
        <w:rPr>
          <w:rFonts w:ascii="Times New Roman" w:eastAsia="Times New Roman" w:hAnsi="Times New Roman" w:cs="Times New Roman"/>
          <w:b/>
          <w:bCs/>
          <w:kern w:val="0"/>
          <w14:ligatures w14:val="none"/>
        </w:rPr>
        <w:t>Random Forest</w:t>
      </w:r>
      <w:r w:rsidRPr="00CE1390">
        <w:rPr>
          <w:rFonts w:ascii="Times New Roman" w:eastAsia="Times New Roman" w:hAnsi="Times New Roman" w:cs="Times New Roman"/>
          <w:kern w:val="0"/>
          <w14:ligatures w14:val="none"/>
        </w:rPr>
        <w:t>.</w:t>
      </w:r>
    </w:p>
    <w:p w14:paraId="06F5E3D6" w14:textId="77777777" w:rsidR="00CE1390" w:rsidRPr="00CE1390" w:rsidRDefault="00CE1390" w:rsidP="00CE13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Financial analysts and regulators may require transparency in decision-making</w:t>
      </w:r>
      <w:r w:rsidRPr="00CE1390">
        <w:rPr>
          <w:rFonts w:ascii="Times New Roman" w:eastAsia="Times New Roman" w:hAnsi="Times New Roman" w:cs="Times New Roman"/>
          <w:kern w:val="0"/>
          <w14:ligatures w14:val="none"/>
        </w:rPr>
        <w:t>, making explainability a key challenge.</w:t>
      </w:r>
    </w:p>
    <w:p w14:paraId="2232382D"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2. Resampling and Cost-Sensitive Learning</w:t>
      </w:r>
    </w:p>
    <w:p w14:paraId="7BA1C8FF" w14:textId="77777777" w:rsidR="00CE1390" w:rsidRPr="00CE1390" w:rsidRDefault="00CE1390" w:rsidP="00CE13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Despite its effectiveness, </w:t>
      </w:r>
      <w:r w:rsidRPr="00CE1390">
        <w:rPr>
          <w:rFonts w:ascii="Times New Roman" w:eastAsia="Times New Roman" w:hAnsi="Times New Roman" w:cs="Times New Roman"/>
          <w:b/>
          <w:bCs/>
          <w:kern w:val="0"/>
          <w14:ligatures w14:val="none"/>
        </w:rPr>
        <w:t>XGBoost could be further improved</w:t>
      </w:r>
      <w:r w:rsidRPr="00CE1390">
        <w:rPr>
          <w:rFonts w:ascii="Times New Roman" w:eastAsia="Times New Roman" w:hAnsi="Times New Roman" w:cs="Times New Roman"/>
          <w:kern w:val="0"/>
          <w14:ligatures w14:val="none"/>
        </w:rPr>
        <w:t xml:space="preserve"> using </w:t>
      </w:r>
      <w:r w:rsidRPr="00CE1390">
        <w:rPr>
          <w:rFonts w:ascii="Times New Roman" w:eastAsia="Times New Roman" w:hAnsi="Times New Roman" w:cs="Times New Roman"/>
          <w:b/>
          <w:bCs/>
          <w:kern w:val="0"/>
          <w14:ligatures w14:val="none"/>
        </w:rPr>
        <w:t>oversampling techniques (SMOTE) or cost-sensitive learning</w:t>
      </w:r>
      <w:r w:rsidRPr="00CE1390">
        <w:rPr>
          <w:rFonts w:ascii="Times New Roman" w:eastAsia="Times New Roman" w:hAnsi="Times New Roman" w:cs="Times New Roman"/>
          <w:kern w:val="0"/>
          <w14:ligatures w14:val="none"/>
        </w:rPr>
        <w:t>, which penalize misclassification of bankrupt firms to enhance recall.</w:t>
      </w:r>
    </w:p>
    <w:p w14:paraId="08A8D6C0"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3. Alternative Models for Future Work</w:t>
      </w:r>
    </w:p>
    <w:p w14:paraId="50433DD2" w14:textId="77777777" w:rsidR="00CE1390" w:rsidRPr="00CE1390" w:rsidRDefault="00CE1390" w:rsidP="00CE139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Deep learning and neural networks</w:t>
      </w:r>
      <w:r w:rsidRPr="00CE1390">
        <w:rPr>
          <w:rFonts w:ascii="Times New Roman" w:eastAsia="Times New Roman" w:hAnsi="Times New Roman" w:cs="Times New Roman"/>
          <w:kern w:val="0"/>
          <w14:ligatures w14:val="none"/>
        </w:rPr>
        <w:t xml:space="preserve"> could be explored for capturing complex financial patterns that traditional models may overlook.</w:t>
      </w:r>
    </w:p>
    <w:p w14:paraId="3EA7725D" w14:textId="77777777" w:rsidR="00CE1390" w:rsidRPr="00CE1390" w:rsidRDefault="00CE1390" w:rsidP="00CE139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Hybrid models combining </w:t>
      </w:r>
      <w:r w:rsidRPr="00CE1390">
        <w:rPr>
          <w:rFonts w:ascii="Times New Roman" w:eastAsia="Times New Roman" w:hAnsi="Times New Roman" w:cs="Times New Roman"/>
          <w:b/>
          <w:bCs/>
          <w:kern w:val="0"/>
          <w14:ligatures w14:val="none"/>
        </w:rPr>
        <w:t>XGBoost with deep learning architectures</w:t>
      </w:r>
      <w:r w:rsidRPr="00CE1390">
        <w:rPr>
          <w:rFonts w:ascii="Times New Roman" w:eastAsia="Times New Roman" w:hAnsi="Times New Roman" w:cs="Times New Roman"/>
          <w:kern w:val="0"/>
          <w14:ligatures w14:val="none"/>
        </w:rPr>
        <w:t xml:space="preserve"> may further enhance predictive performance.</w:t>
      </w:r>
    </w:p>
    <w:p w14:paraId="38DB21CB" w14:textId="77777777" w:rsidR="00CE1390" w:rsidRPr="00CE1390" w:rsidRDefault="00CE1390" w:rsidP="00CE1390">
      <w:pPr>
        <w:spacing w:after="0"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65678706">
          <v:rect id="_x0000_i1286" style="width:0;height:1.5pt" o:hralign="center" o:hrstd="t" o:hr="t" fillcolor="#a0a0a0" stroked="f"/>
        </w:pict>
      </w:r>
    </w:p>
    <w:p w14:paraId="49AC3193"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Relevance and Business Implications</w:t>
      </w:r>
    </w:p>
    <w:p w14:paraId="6DF6C385"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1. Early Bankruptcy Detection</w:t>
      </w:r>
    </w:p>
    <w:p w14:paraId="2EB7AD78" w14:textId="77777777" w:rsidR="00CE1390" w:rsidRPr="00CE1390" w:rsidRDefault="00CE1390" w:rsidP="00CE13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These findings are </w:t>
      </w:r>
      <w:r w:rsidRPr="00CE1390">
        <w:rPr>
          <w:rFonts w:ascii="Times New Roman" w:eastAsia="Times New Roman" w:hAnsi="Times New Roman" w:cs="Times New Roman"/>
          <w:b/>
          <w:bCs/>
          <w:kern w:val="0"/>
          <w14:ligatures w14:val="none"/>
        </w:rPr>
        <w:t>highly relevant for investors, financial institutions, and regulatory agencies</w:t>
      </w:r>
      <w:r w:rsidRPr="00CE1390">
        <w:rPr>
          <w:rFonts w:ascii="Times New Roman" w:eastAsia="Times New Roman" w:hAnsi="Times New Roman" w:cs="Times New Roman"/>
          <w:kern w:val="0"/>
          <w14:ligatures w14:val="none"/>
        </w:rPr>
        <w:t xml:space="preserve"> that assess corporate solvency and credit risk.</w:t>
      </w:r>
    </w:p>
    <w:p w14:paraId="57869AA7" w14:textId="77777777" w:rsidR="00CE1390" w:rsidRPr="00CE1390" w:rsidRDefault="00CE1390" w:rsidP="00CE13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Early warnings can help mitigate financial crises</w:t>
      </w:r>
      <w:r w:rsidRPr="00CE1390">
        <w:rPr>
          <w:rFonts w:ascii="Times New Roman" w:eastAsia="Times New Roman" w:hAnsi="Times New Roman" w:cs="Times New Roman"/>
          <w:kern w:val="0"/>
          <w14:ligatures w14:val="none"/>
        </w:rPr>
        <w:t xml:space="preserve"> by enabling timely interventions.</w:t>
      </w:r>
    </w:p>
    <w:p w14:paraId="61E7CC23"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2. Risk Mitigation &amp; Strategic Decision-Making</w:t>
      </w:r>
    </w:p>
    <w:p w14:paraId="148F41E5" w14:textId="77777777" w:rsidR="00CE1390" w:rsidRPr="00CE1390" w:rsidRDefault="00CE1390" w:rsidP="00CE13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Businesses can use these insights</w:t>
      </w:r>
      <w:r w:rsidRPr="00CE1390">
        <w:rPr>
          <w:rFonts w:ascii="Times New Roman" w:eastAsia="Times New Roman" w:hAnsi="Times New Roman" w:cs="Times New Roman"/>
          <w:kern w:val="0"/>
          <w14:ligatures w14:val="none"/>
        </w:rPr>
        <w:t xml:space="preserve"> to proactively manage financial risks, optimize capital structures, and improve financial health.</w:t>
      </w:r>
    </w:p>
    <w:p w14:paraId="56DFA63D" w14:textId="77777777" w:rsidR="00CE1390" w:rsidRPr="00CE1390" w:rsidRDefault="00CE1390" w:rsidP="00CE13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Policymakers and credit rating agencies</w:t>
      </w:r>
      <w:r w:rsidRPr="00CE1390">
        <w:rPr>
          <w:rFonts w:ascii="Times New Roman" w:eastAsia="Times New Roman" w:hAnsi="Times New Roman" w:cs="Times New Roman"/>
          <w:kern w:val="0"/>
          <w14:ligatures w14:val="none"/>
        </w:rPr>
        <w:t xml:space="preserve"> can integrate machine learning models into risk assessment frameworks.</w:t>
      </w:r>
    </w:p>
    <w:p w14:paraId="5CF946E7"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3. AI in Financial Forecasting</w:t>
      </w:r>
    </w:p>
    <w:p w14:paraId="6221F677" w14:textId="77777777" w:rsidR="00CE1390" w:rsidRPr="00CE1390" w:rsidRDefault="00CE1390" w:rsidP="00CE139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XGBoost’s success reinforces the role of AI in finance,</w:t>
      </w:r>
      <w:r w:rsidRPr="00CE1390">
        <w:rPr>
          <w:rFonts w:ascii="Times New Roman" w:eastAsia="Times New Roman" w:hAnsi="Times New Roman" w:cs="Times New Roman"/>
          <w:kern w:val="0"/>
          <w14:ligatures w14:val="none"/>
        </w:rPr>
        <w:t xml:space="preserve"> offering more </w:t>
      </w:r>
      <w:r w:rsidRPr="00CE1390">
        <w:rPr>
          <w:rFonts w:ascii="Times New Roman" w:eastAsia="Times New Roman" w:hAnsi="Times New Roman" w:cs="Times New Roman"/>
          <w:b/>
          <w:bCs/>
          <w:kern w:val="0"/>
          <w14:ligatures w14:val="none"/>
        </w:rPr>
        <w:t>data-driven, automated risk assessments</w:t>
      </w:r>
      <w:r w:rsidRPr="00CE1390">
        <w:rPr>
          <w:rFonts w:ascii="Times New Roman" w:eastAsia="Times New Roman" w:hAnsi="Times New Roman" w:cs="Times New Roman"/>
          <w:kern w:val="0"/>
          <w14:ligatures w14:val="none"/>
        </w:rPr>
        <w:t xml:space="preserve"> than traditional statistical methods.</w:t>
      </w:r>
    </w:p>
    <w:p w14:paraId="4BF9184F" w14:textId="77777777" w:rsidR="00CE1390" w:rsidRPr="00CE1390" w:rsidRDefault="00CE1390" w:rsidP="00CE139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Financial forecasting models will likely become </w:t>
      </w:r>
      <w:r w:rsidRPr="00CE1390">
        <w:rPr>
          <w:rFonts w:ascii="Times New Roman" w:eastAsia="Times New Roman" w:hAnsi="Times New Roman" w:cs="Times New Roman"/>
          <w:b/>
          <w:bCs/>
          <w:kern w:val="0"/>
          <w14:ligatures w14:val="none"/>
        </w:rPr>
        <w:t>more advanced, integrating real-time data and alternative risk indicators.</w:t>
      </w:r>
    </w:p>
    <w:p w14:paraId="2E2669D0" w14:textId="77777777" w:rsidR="00CE1390" w:rsidRPr="00CE1390" w:rsidRDefault="00CE1390" w:rsidP="00CE1390">
      <w:pPr>
        <w:spacing w:after="0"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4FB3CB8B">
          <v:rect id="_x0000_i1287" style="width:0;height:1.5pt" o:hralign="center" o:hrstd="t" o:hr="t" fillcolor="#a0a0a0" stroked="f"/>
        </w:pict>
      </w:r>
    </w:p>
    <w:p w14:paraId="12B6259C"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CE1390">
        <w:rPr>
          <w:rFonts w:ascii="Times New Roman" w:eastAsia="Times New Roman" w:hAnsi="Times New Roman" w:cs="Times New Roman"/>
          <w:b/>
          <w:bCs/>
          <w:kern w:val="0"/>
          <w:sz w:val="36"/>
          <w:szCs w:val="36"/>
          <w14:ligatures w14:val="none"/>
        </w:rPr>
        <w:t>Final Takeaway</w:t>
      </w:r>
    </w:p>
    <w:p w14:paraId="70CD8B5D"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 is the most effective model for bankruptcy prediction</w:t>
      </w:r>
      <w:r w:rsidRPr="00CE1390">
        <w:rPr>
          <w:rFonts w:ascii="Times New Roman" w:eastAsia="Times New Roman" w:hAnsi="Times New Roman" w:cs="Times New Roman"/>
          <w:kern w:val="0"/>
          <w14:ligatures w14:val="none"/>
        </w:rPr>
        <w:t xml:space="preserve"> due to its </w:t>
      </w:r>
      <w:r w:rsidRPr="00CE1390">
        <w:rPr>
          <w:rFonts w:ascii="Times New Roman" w:eastAsia="Times New Roman" w:hAnsi="Times New Roman" w:cs="Times New Roman"/>
          <w:b/>
          <w:bCs/>
          <w:kern w:val="0"/>
          <w14:ligatures w14:val="none"/>
        </w:rPr>
        <w:t>high classification accuracy, ability to handle imbalanced data, and feature selection capabilities.</w:t>
      </w:r>
      <w:r w:rsidRPr="00CE1390">
        <w:rPr>
          <w:rFonts w:ascii="Times New Roman" w:eastAsia="Times New Roman" w:hAnsi="Times New Roman" w:cs="Times New Roman"/>
          <w:kern w:val="0"/>
          <w14:ligatures w14:val="none"/>
        </w:rPr>
        <w:br/>
        <w:t xml:space="preserve">However, further improvements can be made using </w:t>
      </w:r>
      <w:r w:rsidRPr="00CE1390">
        <w:rPr>
          <w:rFonts w:ascii="Times New Roman" w:eastAsia="Times New Roman" w:hAnsi="Times New Roman" w:cs="Times New Roman"/>
          <w:b/>
          <w:bCs/>
          <w:kern w:val="0"/>
          <w14:ligatures w14:val="none"/>
        </w:rPr>
        <w:t>cost-sensitive learning, resampling techniques, and deep learning models</w:t>
      </w:r>
      <w:r w:rsidRPr="00CE1390">
        <w:rPr>
          <w:rFonts w:ascii="Times New Roman" w:eastAsia="Times New Roman" w:hAnsi="Times New Roman" w:cs="Times New Roman"/>
          <w:kern w:val="0"/>
          <w14:ligatures w14:val="none"/>
        </w:rPr>
        <w:t xml:space="preserve"> to refine predictions and improve real-world applicability.</w:t>
      </w:r>
    </w:p>
    <w:p w14:paraId="186869BF" w14:textId="77777777" w:rsidR="00CE1390" w:rsidRPr="00CE1390" w:rsidRDefault="00CE1390" w:rsidP="00CE1390">
      <w:pPr>
        <w:spacing w:after="0"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3F946F95">
          <v:rect id="_x0000_i1288" style="width:0;height:1.5pt" o:hralign="center" o:hrstd="t" o:hr="t" fillcolor="#a0a0a0" stroked="f"/>
        </w:pict>
      </w:r>
    </w:p>
    <w:p w14:paraId="78AD7AB5"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CE1390">
        <w:rPr>
          <w:rFonts w:ascii="Times New Roman" w:eastAsia="Times New Roman" w:hAnsi="Times New Roman" w:cs="Times New Roman"/>
          <w:b/>
          <w:bCs/>
          <w:kern w:val="0"/>
          <w:sz w:val="36"/>
          <w:szCs w:val="36"/>
          <w14:ligatures w14:val="none"/>
        </w:rPr>
        <w:t>Conclusion</w:t>
      </w:r>
    </w:p>
    <w:p w14:paraId="3249660B"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Machine learning, particularly </w:t>
      </w:r>
      <w:r w:rsidRPr="00CE1390">
        <w:rPr>
          <w:rFonts w:ascii="Times New Roman" w:eastAsia="Times New Roman" w:hAnsi="Times New Roman" w:cs="Times New Roman"/>
          <w:b/>
          <w:bCs/>
          <w:kern w:val="0"/>
          <w14:ligatures w14:val="none"/>
        </w:rPr>
        <w:t>XGBoost,</w:t>
      </w:r>
      <w:r w:rsidRPr="00CE1390">
        <w:rPr>
          <w:rFonts w:ascii="Times New Roman" w:eastAsia="Times New Roman" w:hAnsi="Times New Roman" w:cs="Times New Roman"/>
          <w:kern w:val="0"/>
          <w14:ligatures w14:val="none"/>
        </w:rPr>
        <w:t xml:space="preserve"> demonstrates </w:t>
      </w:r>
      <w:r w:rsidRPr="00CE1390">
        <w:rPr>
          <w:rFonts w:ascii="Times New Roman" w:eastAsia="Times New Roman" w:hAnsi="Times New Roman" w:cs="Times New Roman"/>
          <w:b/>
          <w:bCs/>
          <w:kern w:val="0"/>
          <w14:ligatures w14:val="none"/>
        </w:rPr>
        <w:t>strong predictive capability in bankruptcy classification.</w:t>
      </w:r>
      <w:r w:rsidRPr="00CE1390">
        <w:rPr>
          <w:rFonts w:ascii="Times New Roman" w:eastAsia="Times New Roman" w:hAnsi="Times New Roman" w:cs="Times New Roman"/>
          <w:kern w:val="0"/>
          <w14:ligatures w14:val="none"/>
        </w:rPr>
        <w:t xml:space="preserve"> The results underscore the importance of </w:t>
      </w:r>
      <w:r w:rsidRPr="00CE1390">
        <w:rPr>
          <w:rFonts w:ascii="Times New Roman" w:eastAsia="Times New Roman" w:hAnsi="Times New Roman" w:cs="Times New Roman"/>
          <w:b/>
          <w:bCs/>
          <w:kern w:val="0"/>
          <w14:ligatures w14:val="none"/>
        </w:rPr>
        <w:t>financial ratios in assessing corporate health</w:t>
      </w:r>
      <w:r w:rsidRPr="00CE1390">
        <w:rPr>
          <w:rFonts w:ascii="Times New Roman" w:eastAsia="Times New Roman" w:hAnsi="Times New Roman" w:cs="Times New Roman"/>
          <w:kern w:val="0"/>
          <w14:ligatures w14:val="none"/>
        </w:rPr>
        <w:t xml:space="preserve"> and provide </w:t>
      </w:r>
      <w:r w:rsidRPr="00CE1390">
        <w:rPr>
          <w:rFonts w:ascii="Times New Roman" w:eastAsia="Times New Roman" w:hAnsi="Times New Roman" w:cs="Times New Roman"/>
          <w:b/>
          <w:bCs/>
          <w:kern w:val="0"/>
          <w14:ligatures w14:val="none"/>
        </w:rPr>
        <w:t>actionable insights for financial analysts, investors, and risk management professionals.</w:t>
      </w:r>
    </w:p>
    <w:p w14:paraId="44DC8A3D"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Future research should explore:</w:t>
      </w:r>
    </w:p>
    <w:p w14:paraId="5BB0229F" w14:textId="77777777" w:rsidR="00CE1390" w:rsidRPr="00CE1390" w:rsidRDefault="00CE1390" w:rsidP="00CE139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Advanced resampling techniques</w:t>
      </w:r>
      <w:r w:rsidRPr="00CE1390">
        <w:rPr>
          <w:rFonts w:ascii="Times New Roman" w:eastAsia="Times New Roman" w:hAnsi="Times New Roman" w:cs="Times New Roman"/>
          <w:kern w:val="0"/>
          <w14:ligatures w14:val="none"/>
        </w:rPr>
        <w:t xml:space="preserve"> to further mitigate class imbalance.</w:t>
      </w:r>
    </w:p>
    <w:p w14:paraId="0F2D0D26" w14:textId="77777777" w:rsidR="00CE1390" w:rsidRPr="00CE1390" w:rsidRDefault="00CE1390" w:rsidP="00CE139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Cost-sensitive learning approaches</w:t>
      </w:r>
      <w:r w:rsidRPr="00CE1390">
        <w:rPr>
          <w:rFonts w:ascii="Times New Roman" w:eastAsia="Times New Roman" w:hAnsi="Times New Roman" w:cs="Times New Roman"/>
          <w:kern w:val="0"/>
          <w14:ligatures w14:val="none"/>
        </w:rPr>
        <w:t xml:space="preserve"> to improve recall of bankrupt firms.</w:t>
      </w:r>
    </w:p>
    <w:p w14:paraId="4E5E270C" w14:textId="77777777" w:rsidR="00CE1390" w:rsidRPr="00CE1390" w:rsidRDefault="00CE1390" w:rsidP="00CE139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Hybrid deep learning architectures</w:t>
      </w:r>
      <w:r w:rsidRPr="00CE1390">
        <w:rPr>
          <w:rFonts w:ascii="Times New Roman" w:eastAsia="Times New Roman" w:hAnsi="Times New Roman" w:cs="Times New Roman"/>
          <w:kern w:val="0"/>
          <w14:ligatures w14:val="none"/>
        </w:rPr>
        <w:t xml:space="preserve"> for even </w:t>
      </w:r>
      <w:r w:rsidRPr="00CE1390">
        <w:rPr>
          <w:rFonts w:ascii="Times New Roman" w:eastAsia="Times New Roman" w:hAnsi="Times New Roman" w:cs="Times New Roman"/>
          <w:b/>
          <w:bCs/>
          <w:kern w:val="0"/>
          <w14:ligatures w14:val="none"/>
        </w:rPr>
        <w:t>more precise risk assessment models.</w:t>
      </w:r>
    </w:p>
    <w:p w14:paraId="0D0CD2B3"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This study contributes to the growing body of research on </w:t>
      </w:r>
      <w:r w:rsidRPr="00CE1390">
        <w:rPr>
          <w:rFonts w:ascii="Times New Roman" w:eastAsia="Times New Roman" w:hAnsi="Times New Roman" w:cs="Times New Roman"/>
          <w:b/>
          <w:bCs/>
          <w:kern w:val="0"/>
          <w14:ligatures w14:val="none"/>
        </w:rPr>
        <w:t>AI-driven financial forecasting,</w:t>
      </w:r>
      <w:r w:rsidRPr="00CE1390">
        <w:rPr>
          <w:rFonts w:ascii="Times New Roman" w:eastAsia="Times New Roman" w:hAnsi="Times New Roman" w:cs="Times New Roman"/>
          <w:kern w:val="0"/>
          <w14:ligatures w14:val="none"/>
        </w:rPr>
        <w:t xml:space="preserve"> emphasizing the potential of </w:t>
      </w:r>
      <w:r w:rsidRPr="00CE1390">
        <w:rPr>
          <w:rFonts w:ascii="Times New Roman" w:eastAsia="Times New Roman" w:hAnsi="Times New Roman" w:cs="Times New Roman"/>
          <w:b/>
          <w:bCs/>
          <w:kern w:val="0"/>
          <w14:ligatures w14:val="none"/>
        </w:rPr>
        <w:t>machine learning in identifying at-risk firms early and preventing financial distress.</w:t>
      </w:r>
    </w:p>
    <w:p w14:paraId="3FFBE09D" w14:textId="77777777" w:rsidR="00CE1390" w:rsidRPr="00CE1390" w:rsidRDefault="00CE1390" w:rsidP="00CE1390">
      <w:pPr>
        <w:spacing w:after="0"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pict w14:anchorId="3C898A09">
          <v:rect id="_x0000_i1289" style="width:0;height:1.5pt" o:hralign="center" o:hrstd="t" o:hr="t" fillcolor="#a0a0a0" stroked="f"/>
        </w:pict>
      </w:r>
    </w:p>
    <w:p w14:paraId="6217668C" w14:textId="77777777" w:rsidR="007D3025" w:rsidRPr="007D1304" w:rsidRDefault="007D3025" w:rsidP="003D5AEC">
      <w:pPr>
        <w:spacing w:before="100" w:beforeAutospacing="1" w:after="100" w:afterAutospacing="1" w:line="240" w:lineRule="auto"/>
        <w:rPr>
          <w:rFonts w:ascii="Times New Roman" w:eastAsia="Times New Roman" w:hAnsi="Times New Roman" w:cs="Times New Roman"/>
          <w:kern w:val="0"/>
          <w14:ligatures w14:val="none"/>
        </w:rPr>
      </w:pPr>
    </w:p>
    <w:p w14:paraId="210F1529" w14:textId="77777777" w:rsidR="007D3025" w:rsidRPr="007D3025" w:rsidRDefault="007D3025" w:rsidP="007D3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3025">
        <w:rPr>
          <w:rFonts w:ascii="Times New Roman" w:eastAsia="Times New Roman" w:hAnsi="Times New Roman" w:cs="Times New Roman"/>
          <w:b/>
          <w:bCs/>
          <w:kern w:val="0"/>
          <w:sz w:val="36"/>
          <w:szCs w:val="36"/>
          <w14:ligatures w14:val="none"/>
        </w:rPr>
        <w:t>References</w:t>
      </w:r>
    </w:p>
    <w:p w14:paraId="5AAB983D"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Vukčević, M., Lakićević, M., Melović, B., Backović, T., &amp; Dudić, B.</w:t>
      </w:r>
      <w:r w:rsidRPr="007D3025">
        <w:rPr>
          <w:rFonts w:ascii="Times New Roman" w:eastAsia="Times New Roman" w:hAnsi="Times New Roman" w:cs="Times New Roman"/>
          <w:kern w:val="0"/>
          <w14:ligatures w14:val="none"/>
        </w:rPr>
        <w:t xml:space="preserve"> (2024). Modern models for predicting bankruptcy to detect early signals of business failure: Evidence from Montenegro. </w:t>
      </w:r>
      <w:r w:rsidRPr="007D3025">
        <w:rPr>
          <w:rFonts w:ascii="Times New Roman" w:eastAsia="Times New Roman" w:hAnsi="Times New Roman" w:cs="Times New Roman"/>
          <w:i/>
          <w:iCs/>
          <w:kern w:val="0"/>
          <w14:ligatures w14:val="none"/>
        </w:rPr>
        <w:t>PLoS One, 19</w:t>
      </w:r>
      <w:r w:rsidRPr="007D3025">
        <w:rPr>
          <w:rFonts w:ascii="Times New Roman" w:eastAsia="Times New Roman" w:hAnsi="Times New Roman" w:cs="Times New Roman"/>
          <w:kern w:val="0"/>
          <w14:ligatures w14:val="none"/>
        </w:rPr>
        <w:t>(5), e0303793. https://doi.org/10.1371/journal.pone.0303793</w:t>
      </w:r>
    </w:p>
    <w:p w14:paraId="03FC4DE8"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Gurnani, I., Vincent, T., Tandian, F., &amp; Anggreainy, M.</w:t>
      </w:r>
      <w:r w:rsidRPr="007D3025">
        <w:rPr>
          <w:rFonts w:ascii="Times New Roman" w:eastAsia="Times New Roman" w:hAnsi="Times New Roman" w:cs="Times New Roman"/>
          <w:kern w:val="0"/>
          <w14:ligatures w14:val="none"/>
        </w:rPr>
        <w:t xml:space="preserve"> (2021). Predicting company bankruptcy using Random Forest Method. </w:t>
      </w:r>
      <w:r w:rsidRPr="007D3025">
        <w:rPr>
          <w:rFonts w:ascii="Times New Roman" w:eastAsia="Times New Roman" w:hAnsi="Times New Roman" w:cs="Times New Roman"/>
          <w:i/>
          <w:iCs/>
          <w:kern w:val="0"/>
          <w14:ligatures w14:val="none"/>
        </w:rPr>
        <w:t>IEEE AiDAS Conference.</w:t>
      </w:r>
      <w:r w:rsidRPr="007D3025">
        <w:rPr>
          <w:rFonts w:ascii="Times New Roman" w:eastAsia="Times New Roman" w:hAnsi="Times New Roman" w:cs="Times New Roman"/>
          <w:kern w:val="0"/>
          <w14:ligatures w14:val="none"/>
        </w:rPr>
        <w:t xml:space="preserve"> https://doi.org/10.1109/AiDAS53897.2021.9574384</w:t>
      </w:r>
    </w:p>
    <w:p w14:paraId="0145666C"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Leshno, M., &amp; Spector, Y.</w:t>
      </w:r>
      <w:r w:rsidRPr="007D3025">
        <w:rPr>
          <w:rFonts w:ascii="Times New Roman" w:eastAsia="Times New Roman" w:hAnsi="Times New Roman" w:cs="Times New Roman"/>
          <w:kern w:val="0"/>
          <w14:ligatures w14:val="none"/>
        </w:rPr>
        <w:t xml:space="preserve"> (1996). Neural network prediction analysis: The bankruptcy case. </w:t>
      </w:r>
      <w:r w:rsidRPr="007D3025">
        <w:rPr>
          <w:rFonts w:ascii="Times New Roman" w:eastAsia="Times New Roman" w:hAnsi="Times New Roman" w:cs="Times New Roman"/>
          <w:i/>
          <w:iCs/>
          <w:kern w:val="0"/>
          <w14:ligatures w14:val="none"/>
        </w:rPr>
        <w:t>Neurocomputing, 10</w:t>
      </w:r>
      <w:r w:rsidRPr="007D3025">
        <w:rPr>
          <w:rFonts w:ascii="Times New Roman" w:eastAsia="Times New Roman" w:hAnsi="Times New Roman" w:cs="Times New Roman"/>
          <w:kern w:val="0"/>
          <w14:ligatures w14:val="none"/>
        </w:rPr>
        <w:t>(2), 125-147. https://doi.org/10.1016/0925-2312(94)00060-3</w:t>
      </w:r>
    </w:p>
    <w:p w14:paraId="5E76E5FE"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Harvard Bankruptcy Roundtable</w:t>
      </w:r>
      <w:r w:rsidRPr="007D3025">
        <w:rPr>
          <w:rFonts w:ascii="Times New Roman" w:eastAsia="Times New Roman" w:hAnsi="Times New Roman" w:cs="Times New Roman"/>
          <w:kern w:val="0"/>
          <w14:ligatures w14:val="none"/>
        </w:rPr>
        <w:t xml:space="preserve"> (2024). Predicting Bankruptcy: Ask the Employees. </w:t>
      </w:r>
      <w:r w:rsidRPr="007D3025">
        <w:rPr>
          <w:rFonts w:ascii="Times New Roman" w:eastAsia="Times New Roman" w:hAnsi="Times New Roman" w:cs="Times New Roman"/>
          <w:i/>
          <w:iCs/>
          <w:kern w:val="0"/>
          <w14:ligatures w14:val="none"/>
        </w:rPr>
        <w:t>Harvard Law School.</w:t>
      </w:r>
      <w:r w:rsidRPr="007D3025">
        <w:rPr>
          <w:rFonts w:ascii="Times New Roman" w:eastAsia="Times New Roman" w:hAnsi="Times New Roman" w:cs="Times New Roman"/>
          <w:kern w:val="0"/>
          <w14:ligatures w14:val="none"/>
        </w:rPr>
        <w:t xml:space="preserve"> Retrieved from https://bankruptcyroundtable.law.harvard.edu/2024/03/12/predicting-bankruptcy-ask-the-employees/</w:t>
      </w:r>
    </w:p>
    <w:p w14:paraId="12623A49"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Georgia State University Law Review</w:t>
      </w:r>
      <w:r w:rsidRPr="007D3025">
        <w:rPr>
          <w:rFonts w:ascii="Times New Roman" w:eastAsia="Times New Roman" w:hAnsi="Times New Roman" w:cs="Times New Roman"/>
          <w:kern w:val="0"/>
          <w14:ligatures w14:val="none"/>
        </w:rPr>
        <w:t xml:space="preserve"> (2024). Bankruptcy and Financial Distress. </w:t>
      </w:r>
      <w:r w:rsidRPr="007D3025">
        <w:rPr>
          <w:rFonts w:ascii="Times New Roman" w:eastAsia="Times New Roman" w:hAnsi="Times New Roman" w:cs="Times New Roman"/>
          <w:i/>
          <w:iCs/>
          <w:kern w:val="0"/>
          <w14:ligatures w14:val="none"/>
        </w:rPr>
        <w:t>Georgia State University College of Law.</w:t>
      </w:r>
      <w:r w:rsidRPr="007D3025">
        <w:rPr>
          <w:rFonts w:ascii="Times New Roman" w:eastAsia="Times New Roman" w:hAnsi="Times New Roman" w:cs="Times New Roman"/>
          <w:kern w:val="0"/>
          <w14:ligatures w14:val="none"/>
        </w:rPr>
        <w:t xml:space="preserve"> Retrieved from https://readingroom.law.gsu.edu/gsulr/vol35/iss4/2/</w:t>
      </w:r>
    </w:p>
    <w:bookmarkEnd w:id="0"/>
    <w:p w14:paraId="5D62CEDF" w14:textId="77777777" w:rsidR="007D3025" w:rsidRPr="007D3025" w:rsidRDefault="007D3025" w:rsidP="007D3025">
      <w:pPr>
        <w:spacing w:after="0"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kern w:val="0"/>
          <w14:ligatures w14:val="none"/>
        </w:rPr>
        <w:pict w14:anchorId="7FBA16F1">
          <v:rect id="_x0000_i1126" style="width:0;height:1.5pt" o:hralign="center" o:hrstd="t" o:hr="t" fillcolor="#a0a0a0" stroked="f"/>
        </w:pict>
      </w:r>
    </w:p>
    <w:p w14:paraId="611AF8C0" w14:textId="77777777" w:rsidR="007D3025" w:rsidRPr="003D5AEC" w:rsidRDefault="007D3025" w:rsidP="003D5AEC">
      <w:pPr>
        <w:spacing w:before="100" w:beforeAutospacing="1" w:after="100" w:afterAutospacing="1" w:line="240" w:lineRule="auto"/>
        <w:rPr>
          <w:rFonts w:ascii="Times New Roman" w:eastAsia="Times New Roman" w:hAnsi="Times New Roman" w:cs="Times New Roman"/>
          <w:kern w:val="0"/>
          <w14:ligatures w14:val="none"/>
        </w:rPr>
      </w:pPr>
    </w:p>
    <w:p w14:paraId="6256AD3F" w14:textId="0B64781D" w:rsidR="003D5AEC" w:rsidRPr="007D1304"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Code Appendix</w:t>
      </w:r>
      <w:r w:rsidR="007D3025" w:rsidRPr="007D1304">
        <w:rPr>
          <w:rFonts w:ascii="Times New Roman" w:eastAsia="Times New Roman" w:hAnsi="Times New Roman" w:cs="Times New Roman"/>
          <w:b/>
          <w:bCs/>
          <w:kern w:val="0"/>
          <w:sz w:val="36"/>
          <w:szCs w:val="36"/>
          <w14:ligatures w14:val="none"/>
        </w:rPr>
        <w:t>:</w:t>
      </w:r>
    </w:p>
    <w:p w14:paraId="1E4D1B18" w14:textId="77777777" w:rsidR="007D3025" w:rsidRPr="003D5AEC" w:rsidRDefault="007D3025"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24139AE" w14:textId="50B6D902"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following Python code outlines the implementation of the model</w:t>
      </w:r>
      <w:r w:rsidR="00427621">
        <w:rPr>
          <w:rFonts w:ascii="Times New Roman" w:eastAsia="Times New Roman" w:hAnsi="Times New Roman" w:cs="Times New Roman"/>
          <w:kern w:val="0"/>
          <w14:ligatures w14:val="none"/>
        </w:rPr>
        <w:t>s</w:t>
      </w:r>
      <w:r w:rsidRPr="003D5AEC">
        <w:rPr>
          <w:rFonts w:ascii="Times New Roman" w:eastAsia="Times New Roman" w:hAnsi="Times New Roman" w:cs="Times New Roman"/>
          <w:kern w:val="0"/>
          <w14:ligatures w14:val="none"/>
        </w:rPr>
        <w:t xml:space="preserve"> for bankruptcy prediction:</w:t>
      </w:r>
    </w:p>
    <w:p w14:paraId="1ECA6430" w14:textId="77777777" w:rsidR="00D56BB6" w:rsidRPr="00ED6415" w:rsidRDefault="00D56BB6" w:rsidP="00D56BB6">
      <w:pPr>
        <w:spacing w:after="0" w:line="240" w:lineRule="auto"/>
        <w:rPr>
          <w:rFonts w:ascii="Times New Roman" w:hAnsi="Times New Roman" w:cs="Times New Roman"/>
          <w:b/>
          <w:bCs/>
          <w:sz w:val="20"/>
          <w:szCs w:val="20"/>
        </w:rPr>
      </w:pPr>
      <w:r w:rsidRPr="00ED6415">
        <w:rPr>
          <w:rFonts w:ascii="Times New Roman" w:hAnsi="Times New Roman" w:cs="Times New Roman"/>
          <w:b/>
          <w:bCs/>
          <w:sz w:val="20"/>
          <w:szCs w:val="20"/>
        </w:rPr>
        <w:t>Code Appendix</w:t>
      </w:r>
    </w:p>
    <w:p w14:paraId="55725217" w14:textId="77777777" w:rsidR="00D56BB6" w:rsidRPr="00616D75" w:rsidRDefault="00D56BB6" w:rsidP="00D56BB6">
      <w:pPr>
        <w:spacing w:after="0" w:line="240" w:lineRule="auto"/>
        <w:rPr>
          <w:rFonts w:ascii="Times New Roman" w:hAnsi="Times New Roman" w:cs="Times New Roman"/>
          <w:b/>
          <w:bCs/>
          <w:color w:val="FFC000"/>
          <w:sz w:val="20"/>
          <w:szCs w:val="20"/>
        </w:rPr>
      </w:pPr>
    </w:p>
    <w:p w14:paraId="1DC40F3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pandas as pd</w:t>
      </w:r>
    </w:p>
    <w:p w14:paraId="0588F9D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numpy as np</w:t>
      </w:r>
    </w:p>
    <w:p w14:paraId="72E66C4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matplotlib.pyplot as plt</w:t>
      </w:r>
    </w:p>
    <w:p w14:paraId="0CD597B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seaborn as sns</w:t>
      </w:r>
    </w:p>
    <w:p w14:paraId="792A4E4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time import time</w:t>
      </w:r>
    </w:p>
    <w:p w14:paraId="6709CAD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scipy.stats import randint as sp_randint</w:t>
      </w:r>
    </w:p>
    <w:p w14:paraId="7DB86EC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sklearn.model_selection import train_test_split, RandomizedSearchCV</w:t>
      </w:r>
    </w:p>
    <w:p w14:paraId="277FAB9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sklearn.preprocessing import RobustScaler</w:t>
      </w:r>
    </w:p>
    <w:p w14:paraId="67E719F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sklearn.impute import SimpleImputer</w:t>
      </w:r>
    </w:p>
    <w:p w14:paraId="27DC35E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sklearn.ensemble import RandomForestClassifier</w:t>
      </w:r>
    </w:p>
    <w:p w14:paraId="460DC8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sklearn.metrics import accuracy_score, recall_score, precision_score, confusion_matrix, ConfusionMatrixDisplay</w:t>
      </w:r>
    </w:p>
    <w:p w14:paraId="19CFA73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E4EAEB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Load CSV file</w:t>
      </w:r>
    </w:p>
    <w:p w14:paraId="3B92669F" w14:textId="7DF728CE"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file_path = "merged_data.csv"  </w:t>
      </w:r>
    </w:p>
    <w:p w14:paraId="7A77B30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5D1D235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Read the dataset</w:t>
      </w:r>
    </w:p>
    <w:p w14:paraId="41E2634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df = pd.read_csv(file_path)</w:t>
      </w:r>
    </w:p>
    <w:p w14:paraId="25067E7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052F855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Convert class labels to integers if needed</w:t>
      </w:r>
    </w:p>
    <w:p w14:paraId="0B1BEF3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df['class'] = df['class'].replace({b'0': 0, b'1': 1}).astype(int)</w:t>
      </w:r>
    </w:p>
    <w:p w14:paraId="49B5E8A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2AC15C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Drop specified columns if they exist</w:t>
      </w:r>
    </w:p>
    <w:p w14:paraId="7ECD5B5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df = df.drop(["Attr21", "Attr37"], axis=1, errors='ignore')</w:t>
      </w:r>
    </w:p>
    <w:p w14:paraId="273550A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364C84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Prepare train/test data</w:t>
      </w:r>
    </w:p>
    <w:p w14:paraId="0C6508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 = df.loc[:, df.columns != 'class'].values</w:t>
      </w:r>
    </w:p>
    <w:p w14:paraId="1B01A20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y = df['class'].values</w:t>
      </w:r>
    </w:p>
    <w:p w14:paraId="28B2C61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D66DD8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X_train, X_test, y_train, y_test = train_test_split(X, y, test_size=0.33, random_state=42)</w:t>
      </w:r>
    </w:p>
    <w:p w14:paraId="1E4DC7E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28FAE1E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Impute missing values</w:t>
      </w:r>
    </w:p>
    <w:p w14:paraId="3BBA285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imp_mean = SimpleImputer(missing_values=np.nan, strategy='mean')</w:t>
      </w:r>
    </w:p>
    <w:p w14:paraId="6FAAC3B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X_train = imp_mean.fit_transform(X_train)</w:t>
      </w:r>
    </w:p>
    <w:p w14:paraId="0522EDB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X_test = imp_mean.transform(X_test)</w:t>
      </w:r>
    </w:p>
    <w:p w14:paraId="2807569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3C9173B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Normalize data</w:t>
      </w:r>
    </w:p>
    <w:p w14:paraId="330FED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transformer = RobustScaler().fit(X_train)</w:t>
      </w:r>
    </w:p>
    <w:p w14:paraId="0515055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X_train = transformer.transform(X_train)</w:t>
      </w:r>
    </w:p>
    <w:p w14:paraId="127A5C5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X_test = transformer.transform(X_test)</w:t>
      </w:r>
    </w:p>
    <w:p w14:paraId="7B34E32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36FBF4F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Build classifier</w:t>
      </w:r>
    </w:p>
    <w:p w14:paraId="7AF163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clf = RandomForestClassifier(n_estimators=20)</w:t>
      </w:r>
    </w:p>
    <w:p w14:paraId="198103B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0577CA7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Define hyperparameter search space</w:t>
      </w:r>
    </w:p>
    <w:p w14:paraId="5F9EE1F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param_dist = {</w:t>
      </w:r>
    </w:p>
    <w:p w14:paraId="6D4EA28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"max_depth": [3, None],</w:t>
      </w:r>
    </w:p>
    <w:p w14:paraId="7CBF10C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"max_features": sp_randint(1, 11),</w:t>
      </w:r>
    </w:p>
    <w:p w14:paraId="48F3916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"min_samples_split": sp_randint(2, 11),</w:t>
      </w:r>
    </w:p>
    <w:p w14:paraId="431E515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"bootstrap": [True, False],</w:t>
      </w:r>
    </w:p>
    <w:p w14:paraId="7D24766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"criterion": ["gini", "entropy"]</w:t>
      </w:r>
    </w:p>
    <w:p w14:paraId="7ADE9BB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w:t>
      </w:r>
    </w:p>
    <w:p w14:paraId="4909918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0F20C93A"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Run randomized search</w:t>
      </w:r>
    </w:p>
    <w:p w14:paraId="77D4801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n_iter_search = 20</w:t>
      </w:r>
    </w:p>
    <w:p w14:paraId="2E432A9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random_search = RandomizedSearchCV(clf, param_distributions=param_dist, n_iter=n_iter_search, random_state=42)</w:t>
      </w:r>
    </w:p>
    <w:p w14:paraId="61C648F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start = time()</w:t>
      </w:r>
    </w:p>
    <w:p w14:paraId="0EE9D83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random_search.fit(X_train, y_train)</w:t>
      </w:r>
    </w:p>
    <w:p w14:paraId="3C1971F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search_time = time() - start</w:t>
      </w:r>
    </w:p>
    <w:p w14:paraId="373576A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915DCC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Evaluate model</w:t>
      </w:r>
    </w:p>
    <w:p w14:paraId="76C39EA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y_hat_rf_test = random_search.predict(X_test)</w:t>
      </w:r>
    </w:p>
    <w:p w14:paraId="49AA36C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accuracy = accuracy_score(y_hat_rf_test, y_test)</w:t>
      </w:r>
    </w:p>
    <w:p w14:paraId="2204162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recall = recall_score(y_test, y_hat_rf_test, pos_label=1, average='binary')</w:t>
      </w:r>
    </w:p>
    <w:p w14:paraId="11D1E5C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precision = precision_score(y_test, y_hat_rf_test, pos_label=1, average='binary')</w:t>
      </w:r>
    </w:p>
    <w:p w14:paraId="3C68CB73"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B51D18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Confusion matrix</w:t>
      </w:r>
    </w:p>
    <w:p w14:paraId="2CE0A86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conf_matrix = confusion_matrix(y_test, y_hat_rf_test)</w:t>
      </w:r>
    </w:p>
    <w:p w14:paraId="41A82D6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BE2FA5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Display confusion matrix</w:t>
      </w:r>
    </w:p>
    <w:p w14:paraId="7DABF78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disp = ConfusionMatrixDisplay(confusion_matrix=conf_matrix)</w:t>
      </w:r>
    </w:p>
    <w:p w14:paraId="49451C43"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disp.plot()</w:t>
      </w:r>
    </w:p>
    <w:p w14:paraId="7B5A252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C50622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Print results</w:t>
      </w:r>
    </w:p>
    <w:p w14:paraId="42D3088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print(f"RandomizedSearchCV Time: {search_time:.2f} seconds")</w:t>
      </w:r>
    </w:p>
    <w:p w14:paraId="34FAF50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print(f"Accuracy: {accuracy:.3f}")</w:t>
      </w:r>
    </w:p>
    <w:p w14:paraId="1A96695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print(f"Recall: {recall:.3f}")</w:t>
      </w:r>
    </w:p>
    <w:p w14:paraId="175485C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print(f"Precision: {precision:.3f}")</w:t>
      </w:r>
    </w:p>
    <w:p w14:paraId="209DD6BA"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2435B7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D18990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3B48A1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sklearn.model_selection import cross_val_score</w:t>
      </w:r>
    </w:p>
    <w:p w14:paraId="0022BD0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sklearn.ensemble import GradientBoostingClassifier # Import GradientBoostingClassifier</w:t>
      </w:r>
    </w:p>
    <w:p w14:paraId="4FBA3DC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36E1211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GBM is GradientBoostingClassifier</w:t>
      </w:r>
    </w:p>
    <w:p w14:paraId="75C0164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GBM = GradientBoostingClassifier() # Create and assign the model to GBM</w:t>
      </w:r>
    </w:p>
    <w:p w14:paraId="652352D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72F0DF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Perform 5-fold cross-validation to assess model generalization</w:t>
      </w:r>
    </w:p>
    <w:p w14:paraId="0337146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cv_scores = cross_val_score(GBM, X_train, y_train, cv=5, scoring="accuracy")</w:t>
      </w:r>
    </w:p>
    <w:p w14:paraId="7317315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5BCD136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Print results</w:t>
      </w:r>
    </w:p>
    <w:p w14:paraId="656F2353"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print(f"Cross-Validation Accuracy Scores: {cv_scores}")</w:t>
      </w:r>
    </w:p>
    <w:p w14:paraId="73AB021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print(f"Mean CV Accuracy: {np.mean(cv_scores):.3f}")</w:t>
      </w:r>
    </w:p>
    <w:p w14:paraId="027D000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print(f"Standard Deviation of Accuracy: {np.std(cv_scores):.3f}")</w:t>
      </w:r>
    </w:p>
    <w:p w14:paraId="10760EB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CC96F7F" w14:textId="530B0673"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76C71C3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sklearn.model_selection import cross_val_score</w:t>
      </w:r>
    </w:p>
    <w:p w14:paraId="4F93972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sklearn.ensemble import GradientBoostingClassifier # Import GradientBoostingClassifier</w:t>
      </w:r>
    </w:p>
    <w:p w14:paraId="6C1B373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B23319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GBM is GradientBoostingClassifier</w:t>
      </w:r>
    </w:p>
    <w:p w14:paraId="4031852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GBM = GradientBoostingClassifier() # Create and assign the model to GBM</w:t>
      </w:r>
    </w:p>
    <w:p w14:paraId="46CF192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204555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Perform 5-fold cross-validation to assess model generalization</w:t>
      </w:r>
    </w:p>
    <w:p w14:paraId="4B4ACD9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cv_scores = cross_val_score(GBM, X_train, y_train, cv=5, scoring="accuracy")</w:t>
      </w:r>
    </w:p>
    <w:p w14:paraId="0FBDCB5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7F2D6B0A"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Print results</w:t>
      </w:r>
    </w:p>
    <w:p w14:paraId="0C705A9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print(f"Cross-Validation Accuracy Scores: {cv_scores}")</w:t>
      </w:r>
    </w:p>
    <w:p w14:paraId="4D4F30E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print(f"Mean CV Accuracy: {np.mean(cv_scores):.3f}")</w:t>
      </w:r>
    </w:p>
    <w:p w14:paraId="72152CD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print(f"Standard Deviation of Accuracy: {np.std(cv_scores):.3f}")</w:t>
      </w:r>
    </w:p>
    <w:p w14:paraId="31673E0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0C281D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Fit the model to the training data before making predictions</w:t>
      </w:r>
    </w:p>
    <w:p w14:paraId="20FC921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rPr>
      </w:pPr>
      <w:r w:rsidRPr="009A440B">
        <w:rPr>
          <w:rFonts w:ascii="Times New Roman" w:hAnsi="Times New Roman" w:cs="Times New Roman"/>
          <w:b/>
          <w:bCs/>
          <w:color w:val="E97132" w:themeColor="accent2"/>
          <w:sz w:val="19"/>
          <w:szCs w:val="19"/>
          <w:highlight w:val="darkBlue"/>
        </w:rPr>
        <w:t>GBM.fit(X_train, y_train) # This line is added to fit the model</w:t>
      </w:r>
    </w:p>
    <w:p w14:paraId="61E58421" w14:textId="77777777" w:rsidR="007D3025" w:rsidRPr="009A440B" w:rsidRDefault="007D3025" w:rsidP="00D5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E97132" w:themeColor="accent2"/>
          <w:sz w:val="19"/>
          <w:szCs w:val="19"/>
        </w:rPr>
      </w:pPr>
    </w:p>
    <w:p w14:paraId="67411480" w14:textId="77777777" w:rsidR="009A440B" w:rsidRPr="009A440B" w:rsidRDefault="009A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E97132" w:themeColor="accent2"/>
          <w:sz w:val="19"/>
          <w:szCs w:val="19"/>
        </w:rPr>
      </w:pPr>
    </w:p>
    <w:sectPr w:rsidR="009A440B" w:rsidRPr="009A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76C4"/>
    <w:multiLevelType w:val="multilevel"/>
    <w:tmpl w:val="2986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C72C5"/>
    <w:multiLevelType w:val="multilevel"/>
    <w:tmpl w:val="685E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A3736"/>
    <w:multiLevelType w:val="multilevel"/>
    <w:tmpl w:val="A44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30E96"/>
    <w:multiLevelType w:val="multilevel"/>
    <w:tmpl w:val="A23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D3016"/>
    <w:multiLevelType w:val="multilevel"/>
    <w:tmpl w:val="DE6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D5499"/>
    <w:multiLevelType w:val="multilevel"/>
    <w:tmpl w:val="60E0D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35A50"/>
    <w:multiLevelType w:val="multilevel"/>
    <w:tmpl w:val="EAECF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F536B"/>
    <w:multiLevelType w:val="multilevel"/>
    <w:tmpl w:val="DA1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D1719"/>
    <w:multiLevelType w:val="multilevel"/>
    <w:tmpl w:val="A2A0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E2ABF"/>
    <w:multiLevelType w:val="multilevel"/>
    <w:tmpl w:val="417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E45F7"/>
    <w:multiLevelType w:val="multilevel"/>
    <w:tmpl w:val="ADDC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E1B41"/>
    <w:multiLevelType w:val="multilevel"/>
    <w:tmpl w:val="7D9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418E9"/>
    <w:multiLevelType w:val="multilevel"/>
    <w:tmpl w:val="C25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035C7"/>
    <w:multiLevelType w:val="multilevel"/>
    <w:tmpl w:val="B43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40811"/>
    <w:multiLevelType w:val="multilevel"/>
    <w:tmpl w:val="54F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23D47"/>
    <w:multiLevelType w:val="multilevel"/>
    <w:tmpl w:val="0B44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B73D7A"/>
    <w:multiLevelType w:val="multilevel"/>
    <w:tmpl w:val="462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A48F9"/>
    <w:multiLevelType w:val="multilevel"/>
    <w:tmpl w:val="5A4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20830"/>
    <w:multiLevelType w:val="multilevel"/>
    <w:tmpl w:val="B55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66BFB"/>
    <w:multiLevelType w:val="multilevel"/>
    <w:tmpl w:val="B7B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51267"/>
    <w:multiLevelType w:val="multilevel"/>
    <w:tmpl w:val="5F68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E0D3B"/>
    <w:multiLevelType w:val="multilevel"/>
    <w:tmpl w:val="6C5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2642E"/>
    <w:multiLevelType w:val="multilevel"/>
    <w:tmpl w:val="287C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939D2"/>
    <w:multiLevelType w:val="multilevel"/>
    <w:tmpl w:val="B92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64940"/>
    <w:multiLevelType w:val="multilevel"/>
    <w:tmpl w:val="D50C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60A6C"/>
    <w:multiLevelType w:val="multilevel"/>
    <w:tmpl w:val="268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91E36"/>
    <w:multiLevelType w:val="multilevel"/>
    <w:tmpl w:val="6306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03498"/>
    <w:multiLevelType w:val="multilevel"/>
    <w:tmpl w:val="B40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554994">
    <w:abstractNumId w:val="8"/>
  </w:num>
  <w:num w:numId="2" w16cid:durableId="1170950729">
    <w:abstractNumId w:val="27"/>
  </w:num>
  <w:num w:numId="3" w16cid:durableId="233930438">
    <w:abstractNumId w:val="4"/>
  </w:num>
  <w:num w:numId="4" w16cid:durableId="249193362">
    <w:abstractNumId w:val="15"/>
  </w:num>
  <w:num w:numId="5" w16cid:durableId="542711157">
    <w:abstractNumId w:val="2"/>
  </w:num>
  <w:num w:numId="6" w16cid:durableId="134839833">
    <w:abstractNumId w:val="1"/>
  </w:num>
  <w:num w:numId="7" w16cid:durableId="1208495778">
    <w:abstractNumId w:val="13"/>
  </w:num>
  <w:num w:numId="8" w16cid:durableId="1966231051">
    <w:abstractNumId w:val="9"/>
  </w:num>
  <w:num w:numId="9" w16cid:durableId="808985430">
    <w:abstractNumId w:val="10"/>
  </w:num>
  <w:num w:numId="10" w16cid:durableId="1965382820">
    <w:abstractNumId w:val="11"/>
  </w:num>
  <w:num w:numId="11" w16cid:durableId="1414398877">
    <w:abstractNumId w:val="20"/>
  </w:num>
  <w:num w:numId="12" w16cid:durableId="761950905">
    <w:abstractNumId w:val="22"/>
  </w:num>
  <w:num w:numId="13" w16cid:durableId="757138812">
    <w:abstractNumId w:val="18"/>
  </w:num>
  <w:num w:numId="14" w16cid:durableId="1821342622">
    <w:abstractNumId w:val="21"/>
  </w:num>
  <w:num w:numId="15" w16cid:durableId="1768620075">
    <w:abstractNumId w:val="6"/>
  </w:num>
  <w:num w:numId="16" w16cid:durableId="1569723754">
    <w:abstractNumId w:val="0"/>
  </w:num>
  <w:num w:numId="17" w16cid:durableId="443503864">
    <w:abstractNumId w:val="5"/>
  </w:num>
  <w:num w:numId="18" w16cid:durableId="1266579218">
    <w:abstractNumId w:val="24"/>
  </w:num>
  <w:num w:numId="19" w16cid:durableId="975721459">
    <w:abstractNumId w:val="7"/>
  </w:num>
  <w:num w:numId="20" w16cid:durableId="253169673">
    <w:abstractNumId w:val="19"/>
  </w:num>
  <w:num w:numId="21" w16cid:durableId="933905133">
    <w:abstractNumId w:val="23"/>
  </w:num>
  <w:num w:numId="22" w16cid:durableId="279192775">
    <w:abstractNumId w:val="14"/>
  </w:num>
  <w:num w:numId="23" w16cid:durableId="1398093579">
    <w:abstractNumId w:val="3"/>
  </w:num>
  <w:num w:numId="24" w16cid:durableId="160631540">
    <w:abstractNumId w:val="16"/>
  </w:num>
  <w:num w:numId="25" w16cid:durableId="489102814">
    <w:abstractNumId w:val="17"/>
  </w:num>
  <w:num w:numId="26" w16cid:durableId="937712778">
    <w:abstractNumId w:val="25"/>
  </w:num>
  <w:num w:numId="27" w16cid:durableId="502937301">
    <w:abstractNumId w:val="26"/>
  </w:num>
  <w:num w:numId="28" w16cid:durableId="1928269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C"/>
    <w:rsid w:val="00047F6F"/>
    <w:rsid w:val="0025150E"/>
    <w:rsid w:val="0035411E"/>
    <w:rsid w:val="00372E11"/>
    <w:rsid w:val="003857F0"/>
    <w:rsid w:val="003D5AEC"/>
    <w:rsid w:val="00427621"/>
    <w:rsid w:val="0043491B"/>
    <w:rsid w:val="00616D75"/>
    <w:rsid w:val="00785D91"/>
    <w:rsid w:val="007C469E"/>
    <w:rsid w:val="007D1304"/>
    <w:rsid w:val="007D3025"/>
    <w:rsid w:val="009A440B"/>
    <w:rsid w:val="00CB39AF"/>
    <w:rsid w:val="00CB3F05"/>
    <w:rsid w:val="00CE1390"/>
    <w:rsid w:val="00D56BB6"/>
    <w:rsid w:val="00E63827"/>
    <w:rsid w:val="00F2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4EA5"/>
  <w15:chartTrackingRefBased/>
  <w15:docId w15:val="{C0C4AC31-D681-4584-9418-2996ED99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AEC"/>
    <w:rPr>
      <w:rFonts w:eastAsiaTheme="majorEastAsia" w:cstheme="majorBidi"/>
      <w:color w:val="272727" w:themeColor="text1" w:themeTint="D8"/>
    </w:rPr>
  </w:style>
  <w:style w:type="paragraph" w:styleId="Title">
    <w:name w:val="Title"/>
    <w:basedOn w:val="Normal"/>
    <w:next w:val="Normal"/>
    <w:link w:val="TitleChar"/>
    <w:uiPriority w:val="10"/>
    <w:qFormat/>
    <w:rsid w:val="003D5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AEC"/>
    <w:pPr>
      <w:spacing w:before="160"/>
      <w:jc w:val="center"/>
    </w:pPr>
    <w:rPr>
      <w:i/>
      <w:iCs/>
      <w:color w:val="404040" w:themeColor="text1" w:themeTint="BF"/>
    </w:rPr>
  </w:style>
  <w:style w:type="character" w:customStyle="1" w:styleId="QuoteChar">
    <w:name w:val="Quote Char"/>
    <w:basedOn w:val="DefaultParagraphFont"/>
    <w:link w:val="Quote"/>
    <w:uiPriority w:val="29"/>
    <w:rsid w:val="003D5AEC"/>
    <w:rPr>
      <w:i/>
      <w:iCs/>
      <w:color w:val="404040" w:themeColor="text1" w:themeTint="BF"/>
    </w:rPr>
  </w:style>
  <w:style w:type="paragraph" w:styleId="ListParagraph">
    <w:name w:val="List Paragraph"/>
    <w:basedOn w:val="Normal"/>
    <w:uiPriority w:val="34"/>
    <w:qFormat/>
    <w:rsid w:val="003D5AEC"/>
    <w:pPr>
      <w:ind w:left="720"/>
      <w:contextualSpacing/>
    </w:pPr>
  </w:style>
  <w:style w:type="character" w:styleId="IntenseEmphasis">
    <w:name w:val="Intense Emphasis"/>
    <w:basedOn w:val="DefaultParagraphFont"/>
    <w:uiPriority w:val="21"/>
    <w:qFormat/>
    <w:rsid w:val="003D5AEC"/>
    <w:rPr>
      <w:i/>
      <w:iCs/>
      <w:color w:val="0F4761" w:themeColor="accent1" w:themeShade="BF"/>
    </w:rPr>
  </w:style>
  <w:style w:type="paragraph" w:styleId="IntenseQuote">
    <w:name w:val="Intense Quote"/>
    <w:basedOn w:val="Normal"/>
    <w:next w:val="Normal"/>
    <w:link w:val="IntenseQuoteChar"/>
    <w:uiPriority w:val="30"/>
    <w:qFormat/>
    <w:rsid w:val="003D5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AEC"/>
    <w:rPr>
      <w:i/>
      <w:iCs/>
      <w:color w:val="0F4761" w:themeColor="accent1" w:themeShade="BF"/>
    </w:rPr>
  </w:style>
  <w:style w:type="character" w:styleId="IntenseReference">
    <w:name w:val="Intense Reference"/>
    <w:basedOn w:val="DefaultParagraphFont"/>
    <w:uiPriority w:val="32"/>
    <w:qFormat/>
    <w:rsid w:val="003D5AEC"/>
    <w:rPr>
      <w:b/>
      <w:bCs/>
      <w:smallCaps/>
      <w:color w:val="0F4761" w:themeColor="accent1" w:themeShade="BF"/>
      <w:spacing w:val="5"/>
    </w:rPr>
  </w:style>
  <w:style w:type="paragraph" w:styleId="NormalWeb">
    <w:name w:val="Normal (Web)"/>
    <w:basedOn w:val="Normal"/>
    <w:uiPriority w:val="99"/>
    <w:semiHidden/>
    <w:unhideWhenUsed/>
    <w:rsid w:val="007D13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5104">
      <w:bodyDiv w:val="1"/>
      <w:marLeft w:val="0"/>
      <w:marRight w:val="0"/>
      <w:marTop w:val="0"/>
      <w:marBottom w:val="0"/>
      <w:divBdr>
        <w:top w:val="none" w:sz="0" w:space="0" w:color="auto"/>
        <w:left w:val="none" w:sz="0" w:space="0" w:color="auto"/>
        <w:bottom w:val="none" w:sz="0" w:space="0" w:color="auto"/>
        <w:right w:val="none" w:sz="0" w:space="0" w:color="auto"/>
      </w:divBdr>
    </w:div>
    <w:div w:id="117990945">
      <w:bodyDiv w:val="1"/>
      <w:marLeft w:val="0"/>
      <w:marRight w:val="0"/>
      <w:marTop w:val="0"/>
      <w:marBottom w:val="0"/>
      <w:divBdr>
        <w:top w:val="none" w:sz="0" w:space="0" w:color="auto"/>
        <w:left w:val="none" w:sz="0" w:space="0" w:color="auto"/>
        <w:bottom w:val="none" w:sz="0" w:space="0" w:color="auto"/>
        <w:right w:val="none" w:sz="0" w:space="0" w:color="auto"/>
      </w:divBdr>
    </w:div>
    <w:div w:id="121312515">
      <w:bodyDiv w:val="1"/>
      <w:marLeft w:val="0"/>
      <w:marRight w:val="0"/>
      <w:marTop w:val="0"/>
      <w:marBottom w:val="0"/>
      <w:divBdr>
        <w:top w:val="none" w:sz="0" w:space="0" w:color="auto"/>
        <w:left w:val="none" w:sz="0" w:space="0" w:color="auto"/>
        <w:bottom w:val="none" w:sz="0" w:space="0" w:color="auto"/>
        <w:right w:val="none" w:sz="0" w:space="0" w:color="auto"/>
      </w:divBdr>
    </w:div>
    <w:div w:id="374745143">
      <w:bodyDiv w:val="1"/>
      <w:marLeft w:val="0"/>
      <w:marRight w:val="0"/>
      <w:marTop w:val="0"/>
      <w:marBottom w:val="0"/>
      <w:divBdr>
        <w:top w:val="none" w:sz="0" w:space="0" w:color="auto"/>
        <w:left w:val="none" w:sz="0" w:space="0" w:color="auto"/>
        <w:bottom w:val="none" w:sz="0" w:space="0" w:color="auto"/>
        <w:right w:val="none" w:sz="0" w:space="0" w:color="auto"/>
      </w:divBdr>
    </w:div>
    <w:div w:id="738139302">
      <w:bodyDiv w:val="1"/>
      <w:marLeft w:val="0"/>
      <w:marRight w:val="0"/>
      <w:marTop w:val="0"/>
      <w:marBottom w:val="0"/>
      <w:divBdr>
        <w:top w:val="none" w:sz="0" w:space="0" w:color="auto"/>
        <w:left w:val="none" w:sz="0" w:space="0" w:color="auto"/>
        <w:bottom w:val="none" w:sz="0" w:space="0" w:color="auto"/>
        <w:right w:val="none" w:sz="0" w:space="0" w:color="auto"/>
      </w:divBdr>
      <w:divsChild>
        <w:div w:id="312219845">
          <w:marLeft w:val="0"/>
          <w:marRight w:val="0"/>
          <w:marTop w:val="0"/>
          <w:marBottom w:val="0"/>
          <w:divBdr>
            <w:top w:val="none" w:sz="0" w:space="0" w:color="auto"/>
            <w:left w:val="none" w:sz="0" w:space="0" w:color="auto"/>
            <w:bottom w:val="none" w:sz="0" w:space="0" w:color="auto"/>
            <w:right w:val="none" w:sz="0" w:space="0" w:color="auto"/>
          </w:divBdr>
          <w:divsChild>
            <w:div w:id="1267955807">
              <w:marLeft w:val="0"/>
              <w:marRight w:val="0"/>
              <w:marTop w:val="0"/>
              <w:marBottom w:val="0"/>
              <w:divBdr>
                <w:top w:val="none" w:sz="0" w:space="0" w:color="auto"/>
                <w:left w:val="none" w:sz="0" w:space="0" w:color="auto"/>
                <w:bottom w:val="none" w:sz="0" w:space="0" w:color="auto"/>
                <w:right w:val="none" w:sz="0" w:space="0" w:color="auto"/>
              </w:divBdr>
            </w:div>
          </w:divsChild>
        </w:div>
        <w:div w:id="1003242997">
          <w:marLeft w:val="0"/>
          <w:marRight w:val="0"/>
          <w:marTop w:val="0"/>
          <w:marBottom w:val="0"/>
          <w:divBdr>
            <w:top w:val="none" w:sz="0" w:space="0" w:color="auto"/>
            <w:left w:val="none" w:sz="0" w:space="0" w:color="auto"/>
            <w:bottom w:val="none" w:sz="0" w:space="0" w:color="auto"/>
            <w:right w:val="none" w:sz="0" w:space="0" w:color="auto"/>
          </w:divBdr>
          <w:divsChild>
            <w:div w:id="1567953072">
              <w:marLeft w:val="0"/>
              <w:marRight w:val="0"/>
              <w:marTop w:val="0"/>
              <w:marBottom w:val="0"/>
              <w:divBdr>
                <w:top w:val="none" w:sz="0" w:space="0" w:color="auto"/>
                <w:left w:val="none" w:sz="0" w:space="0" w:color="auto"/>
                <w:bottom w:val="none" w:sz="0" w:space="0" w:color="auto"/>
                <w:right w:val="none" w:sz="0" w:space="0" w:color="auto"/>
              </w:divBdr>
            </w:div>
          </w:divsChild>
        </w:div>
        <w:div w:id="1075736483">
          <w:marLeft w:val="0"/>
          <w:marRight w:val="0"/>
          <w:marTop w:val="0"/>
          <w:marBottom w:val="0"/>
          <w:divBdr>
            <w:top w:val="none" w:sz="0" w:space="0" w:color="auto"/>
            <w:left w:val="none" w:sz="0" w:space="0" w:color="auto"/>
            <w:bottom w:val="none" w:sz="0" w:space="0" w:color="auto"/>
            <w:right w:val="none" w:sz="0" w:space="0" w:color="auto"/>
          </w:divBdr>
          <w:divsChild>
            <w:div w:id="1663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545">
      <w:bodyDiv w:val="1"/>
      <w:marLeft w:val="0"/>
      <w:marRight w:val="0"/>
      <w:marTop w:val="0"/>
      <w:marBottom w:val="0"/>
      <w:divBdr>
        <w:top w:val="none" w:sz="0" w:space="0" w:color="auto"/>
        <w:left w:val="none" w:sz="0" w:space="0" w:color="auto"/>
        <w:bottom w:val="none" w:sz="0" w:space="0" w:color="auto"/>
        <w:right w:val="none" w:sz="0" w:space="0" w:color="auto"/>
      </w:divBdr>
    </w:div>
    <w:div w:id="869101969">
      <w:bodyDiv w:val="1"/>
      <w:marLeft w:val="0"/>
      <w:marRight w:val="0"/>
      <w:marTop w:val="0"/>
      <w:marBottom w:val="0"/>
      <w:divBdr>
        <w:top w:val="none" w:sz="0" w:space="0" w:color="auto"/>
        <w:left w:val="none" w:sz="0" w:space="0" w:color="auto"/>
        <w:bottom w:val="none" w:sz="0" w:space="0" w:color="auto"/>
        <w:right w:val="none" w:sz="0" w:space="0" w:color="auto"/>
      </w:divBdr>
    </w:div>
    <w:div w:id="880869392">
      <w:bodyDiv w:val="1"/>
      <w:marLeft w:val="0"/>
      <w:marRight w:val="0"/>
      <w:marTop w:val="0"/>
      <w:marBottom w:val="0"/>
      <w:divBdr>
        <w:top w:val="none" w:sz="0" w:space="0" w:color="auto"/>
        <w:left w:val="none" w:sz="0" w:space="0" w:color="auto"/>
        <w:bottom w:val="none" w:sz="0" w:space="0" w:color="auto"/>
        <w:right w:val="none" w:sz="0" w:space="0" w:color="auto"/>
      </w:divBdr>
    </w:div>
    <w:div w:id="940181717">
      <w:bodyDiv w:val="1"/>
      <w:marLeft w:val="0"/>
      <w:marRight w:val="0"/>
      <w:marTop w:val="0"/>
      <w:marBottom w:val="0"/>
      <w:divBdr>
        <w:top w:val="none" w:sz="0" w:space="0" w:color="auto"/>
        <w:left w:val="none" w:sz="0" w:space="0" w:color="auto"/>
        <w:bottom w:val="none" w:sz="0" w:space="0" w:color="auto"/>
        <w:right w:val="none" w:sz="0" w:space="0" w:color="auto"/>
      </w:divBdr>
    </w:div>
    <w:div w:id="948468653">
      <w:bodyDiv w:val="1"/>
      <w:marLeft w:val="0"/>
      <w:marRight w:val="0"/>
      <w:marTop w:val="0"/>
      <w:marBottom w:val="0"/>
      <w:divBdr>
        <w:top w:val="none" w:sz="0" w:space="0" w:color="auto"/>
        <w:left w:val="none" w:sz="0" w:space="0" w:color="auto"/>
        <w:bottom w:val="none" w:sz="0" w:space="0" w:color="auto"/>
        <w:right w:val="none" w:sz="0" w:space="0" w:color="auto"/>
      </w:divBdr>
    </w:div>
    <w:div w:id="962032906">
      <w:bodyDiv w:val="1"/>
      <w:marLeft w:val="0"/>
      <w:marRight w:val="0"/>
      <w:marTop w:val="0"/>
      <w:marBottom w:val="0"/>
      <w:divBdr>
        <w:top w:val="none" w:sz="0" w:space="0" w:color="auto"/>
        <w:left w:val="none" w:sz="0" w:space="0" w:color="auto"/>
        <w:bottom w:val="none" w:sz="0" w:space="0" w:color="auto"/>
        <w:right w:val="none" w:sz="0" w:space="0" w:color="auto"/>
      </w:divBdr>
    </w:div>
    <w:div w:id="1009135258">
      <w:bodyDiv w:val="1"/>
      <w:marLeft w:val="0"/>
      <w:marRight w:val="0"/>
      <w:marTop w:val="0"/>
      <w:marBottom w:val="0"/>
      <w:divBdr>
        <w:top w:val="none" w:sz="0" w:space="0" w:color="auto"/>
        <w:left w:val="none" w:sz="0" w:space="0" w:color="auto"/>
        <w:bottom w:val="none" w:sz="0" w:space="0" w:color="auto"/>
        <w:right w:val="none" w:sz="0" w:space="0" w:color="auto"/>
      </w:divBdr>
    </w:div>
    <w:div w:id="1165245613">
      <w:bodyDiv w:val="1"/>
      <w:marLeft w:val="0"/>
      <w:marRight w:val="0"/>
      <w:marTop w:val="0"/>
      <w:marBottom w:val="0"/>
      <w:divBdr>
        <w:top w:val="none" w:sz="0" w:space="0" w:color="auto"/>
        <w:left w:val="none" w:sz="0" w:space="0" w:color="auto"/>
        <w:bottom w:val="none" w:sz="0" w:space="0" w:color="auto"/>
        <w:right w:val="none" w:sz="0" w:space="0" w:color="auto"/>
      </w:divBdr>
      <w:divsChild>
        <w:div w:id="1376657892">
          <w:marLeft w:val="0"/>
          <w:marRight w:val="0"/>
          <w:marTop w:val="0"/>
          <w:marBottom w:val="0"/>
          <w:divBdr>
            <w:top w:val="none" w:sz="0" w:space="0" w:color="auto"/>
            <w:left w:val="none" w:sz="0" w:space="0" w:color="auto"/>
            <w:bottom w:val="none" w:sz="0" w:space="0" w:color="auto"/>
            <w:right w:val="none" w:sz="0" w:space="0" w:color="auto"/>
          </w:divBdr>
        </w:div>
      </w:divsChild>
    </w:div>
    <w:div w:id="1205946462">
      <w:bodyDiv w:val="1"/>
      <w:marLeft w:val="0"/>
      <w:marRight w:val="0"/>
      <w:marTop w:val="0"/>
      <w:marBottom w:val="0"/>
      <w:divBdr>
        <w:top w:val="none" w:sz="0" w:space="0" w:color="auto"/>
        <w:left w:val="none" w:sz="0" w:space="0" w:color="auto"/>
        <w:bottom w:val="none" w:sz="0" w:space="0" w:color="auto"/>
        <w:right w:val="none" w:sz="0" w:space="0" w:color="auto"/>
      </w:divBdr>
      <w:divsChild>
        <w:div w:id="1272324200">
          <w:marLeft w:val="0"/>
          <w:marRight w:val="0"/>
          <w:marTop w:val="0"/>
          <w:marBottom w:val="0"/>
          <w:divBdr>
            <w:top w:val="none" w:sz="0" w:space="0" w:color="auto"/>
            <w:left w:val="none" w:sz="0" w:space="0" w:color="auto"/>
            <w:bottom w:val="none" w:sz="0" w:space="0" w:color="auto"/>
            <w:right w:val="none" w:sz="0" w:space="0" w:color="auto"/>
          </w:divBdr>
          <w:divsChild>
            <w:div w:id="1540168461">
              <w:marLeft w:val="0"/>
              <w:marRight w:val="0"/>
              <w:marTop w:val="0"/>
              <w:marBottom w:val="0"/>
              <w:divBdr>
                <w:top w:val="none" w:sz="0" w:space="0" w:color="auto"/>
                <w:left w:val="none" w:sz="0" w:space="0" w:color="auto"/>
                <w:bottom w:val="none" w:sz="0" w:space="0" w:color="auto"/>
                <w:right w:val="none" w:sz="0" w:space="0" w:color="auto"/>
              </w:divBdr>
            </w:div>
          </w:divsChild>
        </w:div>
        <w:div w:id="803548806">
          <w:marLeft w:val="0"/>
          <w:marRight w:val="0"/>
          <w:marTop w:val="0"/>
          <w:marBottom w:val="0"/>
          <w:divBdr>
            <w:top w:val="none" w:sz="0" w:space="0" w:color="auto"/>
            <w:left w:val="none" w:sz="0" w:space="0" w:color="auto"/>
            <w:bottom w:val="none" w:sz="0" w:space="0" w:color="auto"/>
            <w:right w:val="none" w:sz="0" w:space="0" w:color="auto"/>
          </w:divBdr>
          <w:divsChild>
            <w:div w:id="1459957888">
              <w:marLeft w:val="0"/>
              <w:marRight w:val="0"/>
              <w:marTop w:val="0"/>
              <w:marBottom w:val="0"/>
              <w:divBdr>
                <w:top w:val="none" w:sz="0" w:space="0" w:color="auto"/>
                <w:left w:val="none" w:sz="0" w:space="0" w:color="auto"/>
                <w:bottom w:val="none" w:sz="0" w:space="0" w:color="auto"/>
                <w:right w:val="none" w:sz="0" w:space="0" w:color="auto"/>
              </w:divBdr>
            </w:div>
          </w:divsChild>
        </w:div>
        <w:div w:id="1628272916">
          <w:marLeft w:val="0"/>
          <w:marRight w:val="0"/>
          <w:marTop w:val="0"/>
          <w:marBottom w:val="0"/>
          <w:divBdr>
            <w:top w:val="none" w:sz="0" w:space="0" w:color="auto"/>
            <w:left w:val="none" w:sz="0" w:space="0" w:color="auto"/>
            <w:bottom w:val="none" w:sz="0" w:space="0" w:color="auto"/>
            <w:right w:val="none" w:sz="0" w:space="0" w:color="auto"/>
          </w:divBdr>
          <w:divsChild>
            <w:div w:id="14789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4829">
      <w:bodyDiv w:val="1"/>
      <w:marLeft w:val="0"/>
      <w:marRight w:val="0"/>
      <w:marTop w:val="0"/>
      <w:marBottom w:val="0"/>
      <w:divBdr>
        <w:top w:val="none" w:sz="0" w:space="0" w:color="auto"/>
        <w:left w:val="none" w:sz="0" w:space="0" w:color="auto"/>
        <w:bottom w:val="none" w:sz="0" w:space="0" w:color="auto"/>
        <w:right w:val="none" w:sz="0" w:space="0" w:color="auto"/>
      </w:divBdr>
      <w:divsChild>
        <w:div w:id="1386105943">
          <w:marLeft w:val="0"/>
          <w:marRight w:val="0"/>
          <w:marTop w:val="0"/>
          <w:marBottom w:val="0"/>
          <w:divBdr>
            <w:top w:val="none" w:sz="0" w:space="0" w:color="auto"/>
            <w:left w:val="none" w:sz="0" w:space="0" w:color="auto"/>
            <w:bottom w:val="none" w:sz="0" w:space="0" w:color="auto"/>
            <w:right w:val="none" w:sz="0" w:space="0" w:color="auto"/>
          </w:divBdr>
        </w:div>
      </w:divsChild>
    </w:div>
    <w:div w:id="1391149574">
      <w:bodyDiv w:val="1"/>
      <w:marLeft w:val="0"/>
      <w:marRight w:val="0"/>
      <w:marTop w:val="0"/>
      <w:marBottom w:val="0"/>
      <w:divBdr>
        <w:top w:val="none" w:sz="0" w:space="0" w:color="auto"/>
        <w:left w:val="none" w:sz="0" w:space="0" w:color="auto"/>
        <w:bottom w:val="none" w:sz="0" w:space="0" w:color="auto"/>
        <w:right w:val="none" w:sz="0" w:space="0" w:color="auto"/>
      </w:divBdr>
    </w:div>
    <w:div w:id="1436974320">
      <w:bodyDiv w:val="1"/>
      <w:marLeft w:val="0"/>
      <w:marRight w:val="0"/>
      <w:marTop w:val="0"/>
      <w:marBottom w:val="0"/>
      <w:divBdr>
        <w:top w:val="none" w:sz="0" w:space="0" w:color="auto"/>
        <w:left w:val="none" w:sz="0" w:space="0" w:color="auto"/>
        <w:bottom w:val="none" w:sz="0" w:space="0" w:color="auto"/>
        <w:right w:val="none" w:sz="0" w:space="0" w:color="auto"/>
      </w:divBdr>
    </w:div>
    <w:div w:id="1592274582">
      <w:bodyDiv w:val="1"/>
      <w:marLeft w:val="0"/>
      <w:marRight w:val="0"/>
      <w:marTop w:val="0"/>
      <w:marBottom w:val="0"/>
      <w:divBdr>
        <w:top w:val="none" w:sz="0" w:space="0" w:color="auto"/>
        <w:left w:val="none" w:sz="0" w:space="0" w:color="auto"/>
        <w:bottom w:val="none" w:sz="0" w:space="0" w:color="auto"/>
        <w:right w:val="none" w:sz="0" w:space="0" w:color="auto"/>
      </w:divBdr>
    </w:div>
    <w:div w:id="1622690821">
      <w:bodyDiv w:val="1"/>
      <w:marLeft w:val="0"/>
      <w:marRight w:val="0"/>
      <w:marTop w:val="0"/>
      <w:marBottom w:val="0"/>
      <w:divBdr>
        <w:top w:val="none" w:sz="0" w:space="0" w:color="auto"/>
        <w:left w:val="none" w:sz="0" w:space="0" w:color="auto"/>
        <w:bottom w:val="none" w:sz="0" w:space="0" w:color="auto"/>
        <w:right w:val="none" w:sz="0" w:space="0" w:color="auto"/>
      </w:divBdr>
    </w:div>
    <w:div w:id="1844587319">
      <w:bodyDiv w:val="1"/>
      <w:marLeft w:val="0"/>
      <w:marRight w:val="0"/>
      <w:marTop w:val="0"/>
      <w:marBottom w:val="0"/>
      <w:divBdr>
        <w:top w:val="none" w:sz="0" w:space="0" w:color="auto"/>
        <w:left w:val="none" w:sz="0" w:space="0" w:color="auto"/>
        <w:bottom w:val="none" w:sz="0" w:space="0" w:color="auto"/>
        <w:right w:val="none" w:sz="0" w:space="0" w:color="auto"/>
      </w:divBdr>
    </w:div>
    <w:div w:id="1960646670">
      <w:bodyDiv w:val="1"/>
      <w:marLeft w:val="0"/>
      <w:marRight w:val="0"/>
      <w:marTop w:val="0"/>
      <w:marBottom w:val="0"/>
      <w:divBdr>
        <w:top w:val="none" w:sz="0" w:space="0" w:color="auto"/>
        <w:left w:val="none" w:sz="0" w:space="0" w:color="auto"/>
        <w:bottom w:val="none" w:sz="0" w:space="0" w:color="auto"/>
        <w:right w:val="none" w:sz="0" w:space="0" w:color="auto"/>
      </w:divBdr>
      <w:divsChild>
        <w:div w:id="1204446371">
          <w:marLeft w:val="0"/>
          <w:marRight w:val="0"/>
          <w:marTop w:val="0"/>
          <w:marBottom w:val="0"/>
          <w:divBdr>
            <w:top w:val="none" w:sz="0" w:space="0" w:color="auto"/>
            <w:left w:val="none" w:sz="0" w:space="0" w:color="auto"/>
            <w:bottom w:val="none" w:sz="0" w:space="0" w:color="auto"/>
            <w:right w:val="none" w:sz="0" w:space="0" w:color="auto"/>
          </w:divBdr>
        </w:div>
      </w:divsChild>
    </w:div>
    <w:div w:id="20365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14</cp:revision>
  <dcterms:created xsi:type="dcterms:W3CDTF">2025-03-04T06:03:00Z</dcterms:created>
  <dcterms:modified xsi:type="dcterms:W3CDTF">2025-03-04T07:12:00Z</dcterms:modified>
</cp:coreProperties>
</file>