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7DC96" w14:textId="77777777" w:rsidR="000623F1" w:rsidRDefault="000623F1" w:rsidP="00CB5C05">
      <w:pPr>
        <w:spacing w:line="480" w:lineRule="auto"/>
        <w:rPr>
          <w:rFonts w:ascii="Times New Roman" w:hAnsi="Times New Roman" w:cs="Times New Roman"/>
          <w:b/>
          <w:sz w:val="24"/>
          <w:szCs w:val="24"/>
        </w:rPr>
      </w:pPr>
      <w:r>
        <w:rPr>
          <w:rFonts w:ascii="Times New Roman" w:hAnsi="Times New Roman" w:cs="Times New Roman"/>
          <w:b/>
          <w:sz w:val="24"/>
          <w:szCs w:val="24"/>
        </w:rPr>
        <w:t>SUPPORTING METHODS</w:t>
      </w:r>
    </w:p>
    <w:p w14:paraId="3EB35B5F" w14:textId="2E28420D" w:rsidR="000623F1" w:rsidRDefault="000623F1" w:rsidP="00CB5C05">
      <w:pPr>
        <w:spacing w:line="480" w:lineRule="auto"/>
        <w:rPr>
          <w:rFonts w:ascii="Times New Roman" w:hAnsi="Times New Roman" w:cs="Times New Roman"/>
          <w:b/>
          <w:sz w:val="24"/>
          <w:szCs w:val="24"/>
        </w:rPr>
      </w:pPr>
      <w:r>
        <w:rPr>
          <w:rFonts w:ascii="Times New Roman" w:hAnsi="Times New Roman" w:cs="Times New Roman"/>
          <w:b/>
          <w:sz w:val="24"/>
          <w:szCs w:val="24"/>
        </w:rPr>
        <w:t>Demographic modeling methods</w:t>
      </w:r>
    </w:p>
    <w:p w14:paraId="020BCCD2" w14:textId="322A8952" w:rsidR="000623F1" w:rsidRDefault="000623F1" w:rsidP="00CB5C05">
      <w:pPr>
        <w:spacing w:after="160" w:line="480" w:lineRule="auto"/>
        <w:ind w:firstLine="720"/>
        <w:contextualSpacing/>
        <w:rPr>
          <w:rFonts w:ascii="Times New Roman" w:hAnsi="Times New Roman" w:cs="Times New Roman"/>
          <w:sz w:val="24"/>
          <w:szCs w:val="24"/>
        </w:rPr>
      </w:pPr>
      <w:proofErr w:type="spellStart"/>
      <w:r>
        <w:rPr>
          <w:rFonts w:ascii="Times New Roman" w:hAnsi="Times New Roman" w:cs="Times New Roman"/>
          <w:i/>
          <w:iCs/>
          <w:sz w:val="24"/>
          <w:szCs w:val="24"/>
        </w:rPr>
        <w:t>Bistorta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Polygonum</w:t>
      </w:r>
      <w:proofErr w:type="spellEnd"/>
      <w:r>
        <w:rPr>
          <w:rFonts w:ascii="Times New Roman" w:hAnsi="Times New Roman" w:cs="Times New Roman"/>
          <w:i/>
          <w:iCs/>
          <w:sz w:val="24"/>
          <w:szCs w:val="24"/>
        </w:rPr>
        <w:t>) vivipara</w:t>
      </w:r>
      <w:r>
        <w:rPr>
          <w:rFonts w:ascii="Times New Roman" w:hAnsi="Times New Roman" w:cs="Times New Roman"/>
          <w:sz w:val="24"/>
          <w:szCs w:val="24"/>
        </w:rPr>
        <w:t xml:space="preserve"> is an arctic/alpine perennial plant for which demographic data were collected annually from 2001 – 2011 at four populations on Niwot Ridge, CO. Size and survival data were recorded on all plants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&lt;EndNote&gt;&lt;Cite&gt;&lt;Author&gt;Doak&lt;/Author&gt;&lt;Year&gt;2010&lt;/Year&gt;&lt;RecNum&gt;1777&lt;/RecNum&gt;&lt;Prefix&gt;see detailed methods in &lt;/Prefix&gt;&lt;DisplayText&gt;(see detailed methods in Doak &amp;amp; Morris 2010)&lt;/DisplayText&gt;&lt;record&gt;&lt;rec-number&gt;1777&lt;/rec-number&gt;&lt;foreign-keys&gt;&lt;key app="EN" db-id="5w5zds5rvr0rd4e2v215svr9svewsz9rd5ap" timestamp="1437677954"&gt;1777&lt;/key&gt;&lt;key app="ENWeb" db-id=""&gt;0&lt;/key&gt;&lt;/foreign-keys&gt;&lt;ref-type name="Journal Article"&gt;17&lt;/ref-type&gt;&lt;contributors&gt;&lt;authors&gt;&lt;author&gt;Doak, D. F.&lt;/author&gt;&lt;author&gt;Morris, W. F.&lt;/author&gt;&lt;/authors&gt;&lt;/contributors&gt;&lt;auth-address&gt;Department of Zoology and Physiology, University of Wyoming, Laramie, Wyoming 82071, USA. ddoak@uwyo.edu&lt;/auth-address&gt;&lt;titles&gt;&lt;title&gt;Demographic compensation and tipping points in climate-induced range shifts&lt;/title&gt;&lt;secondary-title&gt;Nature&lt;/secondary-title&gt;&lt;/titles&gt;&lt;periodical&gt;&lt;full-title&gt;Nature&lt;/full-title&gt;&lt;/periodical&gt;&lt;pages&gt;959-62&lt;/pages&gt;&lt;volume&gt;467&lt;/volume&gt;&lt;keywords&gt;&lt;keyword&gt;Alaska&lt;/keyword&gt;&lt;keyword&gt;Alberta&lt;/keyword&gt;&lt;keyword&gt;*Climate&lt;/keyword&gt;&lt;keyword&gt;Cold Climate&lt;/keyword&gt;&lt;keyword&gt;Colorado&lt;/keyword&gt;&lt;keyword&gt;*Ecosystem&lt;/keyword&gt;&lt;keyword&gt;*Geography&lt;/keyword&gt;&lt;keyword&gt;Global Warming/*statistics &amp;amp; numerical data&lt;/keyword&gt;&lt;keyword&gt;Polygonum/*growth &amp;amp; development&lt;/keyword&gt;&lt;keyword&gt;Population Growth&lt;/keyword&gt;&lt;keyword&gt;Seasons&lt;/keyword&gt;&lt;keyword&gt;Silene/*growth &amp;amp; development&lt;/keyword&gt;&lt;keyword&gt;Snow&lt;/keyword&gt;&lt;keyword&gt;Stochastic Processes&lt;/keyword&gt;&lt;keyword&gt;Temperature&lt;/keyword&gt;&lt;/keywords&gt;&lt;dates&gt;&lt;year&gt;2010&lt;/year&gt;&lt;pub-dates&gt;&lt;date&gt;Oct 21&lt;/date&gt;&lt;/pub-dates&gt;&lt;/dates&gt;&lt;isbn&gt;1476-4687 (Electronic)&amp;#xD;0028-0836 (Linking)&lt;/isbn&gt;&lt;accession-num&gt;20962844&lt;/accession-num&gt;&lt;urls&gt;&lt;related-urls&gt;&lt;url&gt;http://www.ncbi.nlm.nih.gov/pubmed/20962844&lt;/url&gt;&lt;/related-urls&gt;&lt;/urls&gt;&lt;electronic-resource-num&gt;10.1038/nature09439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(see detailed methods in Doak &amp; Morris 2010)</w:t>
      </w:r>
      <w:r>
        <w:rPr>
          <w:rFonts w:ascii="Times New Roman" w:hAnsi="Times New Roman" w:cs="Times New Roman"/>
          <w:sz w:val="24"/>
          <w:szCs w:val="24"/>
        </w:rPr>
        <w:fldChar w:fldCharType="end"/>
      </w:r>
      <w:r>
        <w:rPr>
          <w:rFonts w:ascii="Times New Roman" w:hAnsi="Times New Roman" w:cs="Times New Roman"/>
          <w:sz w:val="24"/>
          <w:szCs w:val="24"/>
        </w:rPr>
        <w:t>. Size is measured as the square root of estimated leaf area. Reproduction is exclusively via asexual bulbils that are produced on inflorescences, and the measure of reproduction is the size-dependent product of the probability of producing one or more inflorescences and the estimated number of bulbils produced if reproducing. Data across all years and sites was pooled to yield one estimate of the number of new recruits (</w:t>
      </w:r>
      <w:proofErr w:type="spellStart"/>
      <w:r>
        <w:rPr>
          <w:rFonts w:ascii="Times New Roman" w:hAnsi="Times New Roman" w:cs="Times New Roman"/>
          <w:sz w:val="24"/>
          <w:szCs w:val="24"/>
        </w:rPr>
        <w:t>bulblings</w:t>
      </w:r>
      <w:proofErr w:type="spellEnd"/>
      <w:r>
        <w:rPr>
          <w:rFonts w:ascii="Times New Roman" w:hAnsi="Times New Roman" w:cs="Times New Roman"/>
          <w:sz w:val="24"/>
          <w:szCs w:val="24"/>
        </w:rPr>
        <w:t xml:space="preserve">) seen a year later per bulbil (0.00676). </w:t>
      </w:r>
      <w:proofErr w:type="spellStart"/>
      <w:r>
        <w:rPr>
          <w:rFonts w:ascii="Times New Roman" w:hAnsi="Times New Roman" w:cs="Times New Roman"/>
          <w:sz w:val="24"/>
          <w:szCs w:val="24"/>
        </w:rPr>
        <w:t>Bulbling</w:t>
      </w:r>
      <w:proofErr w:type="spellEnd"/>
      <w:r>
        <w:rPr>
          <w:rFonts w:ascii="Times New Roman" w:hAnsi="Times New Roman" w:cs="Times New Roman"/>
          <w:sz w:val="24"/>
          <w:szCs w:val="24"/>
        </w:rPr>
        <w:t xml:space="preserve"> sizes were also pooled and used to characterize the size distribution of </w:t>
      </w:r>
      <w:proofErr w:type="spellStart"/>
      <w:r>
        <w:rPr>
          <w:rFonts w:ascii="Times New Roman" w:hAnsi="Times New Roman" w:cs="Times New Roman"/>
          <w:sz w:val="24"/>
          <w:szCs w:val="24"/>
        </w:rPr>
        <w:t>bulblings</w:t>
      </w:r>
      <w:proofErr w:type="spellEnd"/>
      <w:r>
        <w:rPr>
          <w:rFonts w:ascii="Times New Roman" w:hAnsi="Times New Roman" w:cs="Times New Roman"/>
          <w:sz w:val="24"/>
          <w:szCs w:val="24"/>
        </w:rPr>
        <w:t xml:space="preserve"> as normally distributed with a single mean (4.00) and SD (0.886). </w:t>
      </w:r>
    </w:p>
    <w:p w14:paraId="19BD4DEA" w14:textId="177EFDD7" w:rsidR="000623F1" w:rsidRDefault="000623F1" w:rsidP="000623F1">
      <w:pPr>
        <w:spacing w:after="160" w:line="480" w:lineRule="auto"/>
        <w:ind w:firstLine="720"/>
        <w:contextualSpacing/>
        <w:rPr>
          <w:rFonts w:ascii="Times New Roman" w:hAnsi="Times New Roman" w:cs="Times New Roman"/>
          <w:i/>
          <w:iCs/>
          <w:sz w:val="24"/>
          <w:szCs w:val="24"/>
        </w:rPr>
      </w:pPr>
      <w:proofErr w:type="spellStart"/>
      <w:r>
        <w:rPr>
          <w:rFonts w:ascii="Times New Roman" w:hAnsi="Times New Roman" w:cs="Times New Roman"/>
          <w:i/>
          <w:iCs/>
          <w:sz w:val="24"/>
          <w:szCs w:val="24"/>
        </w:rPr>
        <w:t>Paramuricea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clavata</w:t>
      </w:r>
      <w:proofErr w:type="spellEnd"/>
      <w:r>
        <w:rPr>
          <w:rFonts w:ascii="Times New Roman" w:hAnsi="Times New Roman" w:cs="Times New Roman"/>
          <w:sz w:val="24"/>
          <w:szCs w:val="24"/>
        </w:rPr>
        <w:t xml:space="preserve">, the Mediterranean red gorgonian, is a slow-growing and long-lived arborescent </w:t>
      </w:r>
      <w:proofErr w:type="spellStart"/>
      <w:r>
        <w:rPr>
          <w:rFonts w:ascii="Times New Roman" w:hAnsi="Times New Roman" w:cs="Times New Roman"/>
          <w:sz w:val="24"/>
          <w:szCs w:val="24"/>
        </w:rPr>
        <w:t>octocoral</w:t>
      </w:r>
      <w:proofErr w:type="spellEnd"/>
      <w:r>
        <w:rPr>
          <w:rFonts w:ascii="Times New Roman" w:hAnsi="Times New Roman" w:cs="Times New Roman"/>
          <w:sz w:val="24"/>
          <w:szCs w:val="24"/>
        </w:rPr>
        <w:t xml:space="preserve"> that typically occurs from 10-110 m depth. Demographic data for individual colonies (the unit of demographic analysis) were collected annually at three sites for 3-5 years each from 1999-2004 in the NW Mediterranean Sea </w:t>
      </w:r>
      <w:r>
        <w:rPr>
          <w:rFonts w:ascii="Times New Roman" w:hAnsi="Times New Roman" w:cs="Times New Roman"/>
          <w:sz w:val="24"/>
          <w:szCs w:val="24"/>
        </w:rPr>
        <w:fldChar w:fldCharType="begin">
          <w:fldData xml:space="preserve">PEVuZE5vdGU+PENpdGU+PEF1dGhvcj5MaW5hcmVzPC9BdXRob3I+PFllYXI+MjAwNzwvWWVhcj48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PEVuZE5vdGU+PENpdGU+PEF1dGhvcj5MaW5hcmVzPC9BdXRob3I+PFllYXI+MjAwNzwvWWVhcj48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(Linares</w:t>
      </w:r>
      <w:r w:rsidRPr="00DA129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2007; Linares &amp; Doak 2010)</w:t>
      </w:r>
      <w:r>
        <w:rPr>
          <w:rFonts w:ascii="Times New Roman" w:hAnsi="Times New Roman" w:cs="Times New Roman"/>
          <w:sz w:val="24"/>
          <w:szCs w:val="24"/>
        </w:rPr>
        <w:fldChar w:fldCharType="end"/>
      </w:r>
      <w:r>
        <w:rPr>
          <w:rFonts w:ascii="Times New Roman" w:hAnsi="Times New Roman" w:cs="Times New Roman"/>
          <w:sz w:val="24"/>
          <w:szCs w:val="24"/>
        </w:rPr>
        <w:t xml:space="preserve">. Size is quantified by maximum colony height. Size-dependent reproduction was estimated as the product of (1) the production of gonads per colony, estimated from the relationship between oocyte number and size derived from data in Table 5 of Coma </w:t>
      </w:r>
      <w:r w:rsidRPr="00F9407D">
        <w:rPr>
          <w:rFonts w:ascii="Times New Roman" w:hAnsi="Times New Roman" w:cs="Times New Roman"/>
          <w:i/>
          <w:sz w:val="24"/>
          <w:szCs w:val="24"/>
        </w:rPr>
        <w:t>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ExcludeAuth="1"&gt;&lt;Author&gt;Coma&lt;/Author&gt;&lt;Year&gt;1995&lt;/Year&gt;&lt;RecNum&gt;2926&lt;/RecNum&gt;&lt;Suffix&gt;`; Table 5&lt;/Suffix&gt;&lt;DisplayText&gt;(1995; Table 5)&lt;/DisplayText&gt;&lt;record&gt;&lt;rec-number&gt;2926&lt;/rec-number&gt;&lt;foreign-keys&gt;&lt;key app="EN" db-id="5w5zds5rvr0rd4e2v215svr9svewsz9rd5ap" timestamp="1546555786"&gt;2926&lt;/key&gt;&lt;key app="ENWeb" db-id=""&gt;0&lt;/key&gt;&lt;/foreign-keys&gt;&lt;ref-type name="Journal Article"&gt;17&lt;/ref-type&gt;&lt;contributors&gt;&lt;authors&gt;&lt;author&gt;Coma, R.&lt;/author&gt;&lt;author&gt;Zabala, M.&lt;/author&gt;&lt;author&gt;Gili, J.&lt;/author&gt;&lt;/authors&gt;&lt;/contributors&gt;&lt;titles&gt;&lt;title&gt;&lt;style face="normal" font="default" size="100%"&gt;Sexual reproductive effort in the Mediterranean gorgonian &lt;/style&gt;&lt;style face="italic" font="default" size="100%"&gt;Paramuricea clavata&lt;/style&gt;&lt;/title&gt;&lt;secondary-title&gt;Marine Ecology Progress Series&lt;/secondary-title&gt;&lt;/titles&gt;&lt;periodical&gt;&lt;full-title&gt;Marine Ecology Progress Series&lt;/full-title&gt;&lt;/periodical&gt;&lt;pages&gt;185-192&lt;/pages&gt;&lt;volume&gt;117&lt;/volume&gt;&lt;dates&gt;&lt;year&gt;1995&lt;/year&gt;&lt;/dates&gt;&lt;urls&gt;&lt;/urls&gt;&lt;/record&gt;&lt;/Cite&gt;&lt;/EndNote&gt;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(1995; Table 5)</w:t>
      </w:r>
      <w:r>
        <w:rPr>
          <w:rFonts w:ascii="Times New Roman" w:hAnsi="Times New Roman" w:cs="Times New Roman"/>
          <w:sz w:val="24"/>
          <w:szCs w:val="24"/>
        </w:rPr>
        <w:fldChar w:fldCharType="end"/>
      </w:r>
      <w:r>
        <w:rPr>
          <w:rFonts w:ascii="Times New Roman" w:hAnsi="Times New Roman" w:cs="Times New Roman"/>
          <w:sz w:val="24"/>
          <w:szCs w:val="24"/>
        </w:rPr>
        <w:t xml:space="preserve"> and (2) the fecundity of the gonads (fraction of gonads converted to eggs; Linares et al. 2008). We estimate the first year survival of new recruits across all years and sites as 0.667, the mean of size class 2 survival from Linares </w:t>
      </w:r>
      <w:r w:rsidRPr="00F9407D">
        <w:rPr>
          <w:rFonts w:ascii="Times New Roman" w:hAnsi="Times New Roman" w:cs="Times New Roman"/>
          <w:i/>
          <w:sz w:val="24"/>
          <w:szCs w:val="24"/>
        </w:rPr>
        <w:t>et al</w:t>
      </w:r>
      <w:r>
        <w:rPr>
          <w:rFonts w:ascii="Times New Roman" w:hAnsi="Times New Roman" w:cs="Times New Roman"/>
          <w:sz w:val="24"/>
          <w:szCs w:val="24"/>
        </w:rPr>
        <w:t xml:space="preserve">. (2007). All surviving recruits are assumed to move to the smallest size class. </w:t>
      </w:r>
    </w:p>
    <w:p w14:paraId="0E62C846" w14:textId="4B098C88" w:rsidR="000623F1" w:rsidRDefault="000623F1" w:rsidP="000623F1">
      <w:pPr>
        <w:spacing w:after="160" w:line="480" w:lineRule="auto"/>
        <w:ind w:firstLine="720"/>
        <w:contextualSpacing/>
        <w:rPr>
          <w:rFonts w:ascii="Times New Roman" w:hAnsi="Times New Roman" w:cs="Times New Roman"/>
          <w:sz w:val="24"/>
          <w:szCs w:val="24"/>
        </w:rPr>
      </w:pPr>
      <w:proofErr w:type="spellStart"/>
      <w:r>
        <w:rPr>
          <w:rFonts w:ascii="Times New Roman" w:hAnsi="Times New Roman" w:cs="Times New Roman"/>
          <w:i/>
          <w:iCs/>
          <w:sz w:val="24"/>
          <w:szCs w:val="24"/>
        </w:rPr>
        <w:lastRenderedPageBreak/>
        <w:t>Vulpicida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pinastri</w:t>
      </w:r>
      <w:proofErr w:type="spellEnd"/>
      <w:r>
        <w:rPr>
          <w:rFonts w:ascii="Times New Roman" w:hAnsi="Times New Roman" w:cs="Times New Roman"/>
          <w:sz w:val="24"/>
          <w:szCs w:val="24"/>
        </w:rPr>
        <w:t xml:space="preserve"> is a short-lived epiphytic lichen that grows on several trees and shrubs. Data on individual thalli were collected annually from 2004-2009 in </w:t>
      </w:r>
      <w:proofErr w:type="spellStart"/>
      <w:r>
        <w:rPr>
          <w:rFonts w:ascii="Times New Roman" w:hAnsi="Times New Roman" w:cs="Times New Roman"/>
          <w:sz w:val="24"/>
          <w:szCs w:val="24"/>
        </w:rPr>
        <w:t>Kennicott</w:t>
      </w:r>
      <w:proofErr w:type="spellEnd"/>
      <w:r>
        <w:rPr>
          <w:rFonts w:ascii="Times New Roman" w:hAnsi="Times New Roman" w:cs="Times New Roman"/>
          <w:sz w:val="24"/>
          <w:szCs w:val="24"/>
        </w:rPr>
        <w:t xml:space="preserve"> Valley, AK on individuals growing on </w:t>
      </w:r>
      <w:proofErr w:type="spellStart"/>
      <w:r>
        <w:rPr>
          <w:rFonts w:ascii="Times New Roman" w:hAnsi="Times New Roman" w:cs="Times New Roman"/>
          <w:i/>
          <w:iCs/>
          <w:sz w:val="24"/>
          <w:szCs w:val="24"/>
        </w:rPr>
        <w:t>Alnus</w:t>
      </w:r>
      <w:proofErr w:type="spellEnd"/>
      <w:r>
        <w:rPr>
          <w:rFonts w:ascii="Times New Roman" w:hAnsi="Times New Roman" w:cs="Times New Roman"/>
          <w:sz w:val="24"/>
          <w:szCs w:val="24"/>
        </w:rPr>
        <w:t xml:space="preserve"> stems in a mixed spruce-alder forest. Size and survival data were collected in each thallus, with the square root of thallus area used as the measure of size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&lt;EndNote&gt;&lt;Cite&gt;&lt;Author&gt;Shriver&lt;/Author&gt;&lt;Year&gt;2012&lt;/Year&gt;&lt;RecNum&gt;1824&lt;/RecNum&gt;&lt;Prefix&gt;see &lt;/Prefix&gt;&lt;Suffix&gt; for methods&lt;/Suffix&gt;&lt;DisplayText&gt;(see Shriver, Cutler &amp;amp; Doak 2012 for methods)&lt;/DisplayText&gt;&lt;record&gt;&lt;rec-number&gt;1824&lt;/rec-number&gt;&lt;foreign-keys&gt;&lt;key app="EN" db-id="5w5zds5rvr0rd4e2v215svr9svewsz9rd5ap" timestamp="1441230513"&gt;1824&lt;/key&gt;&lt;key app="ENWeb" db-id=""&gt;0&lt;/key&gt;&lt;/foreign-keys&gt;&lt;ref-type name="Journal Article"&gt;17&lt;/ref-type&gt;&lt;contributors&gt;&lt;authors&gt;&lt;author&gt;Shriver, R. K.&lt;/author&gt;&lt;author&gt;Cutler, K.&lt;/author&gt;&lt;author&gt;Doak, D. F.&lt;/author&gt;&lt;/authors&gt;&lt;/contributors&gt;&lt;auth-address&gt;University Program in Ecology, Duke University, Durham, NC 27708, USA. robert.shriver@duke.edu&lt;/auth-address&gt;&lt;titles&gt;&lt;title&gt;Comparative demography of an epiphytic lichen: support for general life history patterns and solutions to common problems in demographic parameter estimation&lt;/title&gt;&lt;secondary-title&gt;Oecologia&lt;/secondary-title&gt;&lt;/titles&gt;&lt;periodical&gt;&lt;full-title&gt;Oecologia&lt;/full-title&gt;&lt;/periodical&gt;&lt;pages&gt;137-46&lt;/pages&gt;&lt;volume&gt;170&lt;/volume&gt;&lt;number&gt;1&lt;/number&gt;&lt;keywords&gt;&lt;keyword&gt;Lichens/*growth &amp;amp; development/physiology&lt;/keyword&gt;&lt;keyword&gt;Models, Theoretical&lt;/keyword&gt;&lt;keyword&gt;Population Dynamics&lt;/keyword&gt;&lt;keyword&gt;*Reproduction&lt;/keyword&gt;&lt;keyword&gt;Survival&lt;/keyword&gt;&lt;/keywords&gt;&lt;dates&gt;&lt;year&gt;2012&lt;/year&gt;&lt;pub-dates&gt;&lt;date&gt;Sep&lt;/date&gt;&lt;/pub-dates&gt;&lt;/dates&gt;&lt;isbn&gt;1432-1939 (Electronic)&amp;#xD;0029-8549 (Linking)&lt;/isbn&gt;&lt;accession-num&gt;22453647&lt;/accession-num&gt;&lt;urls&gt;&lt;related-urls&gt;&lt;url&gt;http://www.ncbi.nlm.nih.gov/pubmed/22453647&lt;/url&gt;&lt;/related-urls&gt;&lt;/urls&gt;&lt;electronic-resource-num&gt;10.1007/s00442-012-2301-4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(see Shriver, Cutler &amp; Doak 2012 for methods)</w:t>
      </w:r>
      <w:r>
        <w:rPr>
          <w:rFonts w:ascii="Times New Roman" w:hAnsi="Times New Roman" w:cs="Times New Roman"/>
          <w:sz w:val="24"/>
          <w:szCs w:val="24"/>
        </w:rPr>
        <w:fldChar w:fldCharType="end"/>
      </w:r>
      <w:r>
        <w:rPr>
          <w:rFonts w:ascii="Times New Roman" w:hAnsi="Times New Roman" w:cs="Times New Roman"/>
          <w:sz w:val="24"/>
          <w:szCs w:val="24"/>
        </w:rPr>
        <w:t xml:space="preserve">. Reproduction was assumed to be proportional to the circumference of a thallus, which bears the majority of asexual propagules. Recruits per circumference necessary to achieve a stable population was estimated as 0.047 in the original study of this species (Shriver </w:t>
      </w:r>
      <w:r w:rsidRPr="00F9407D">
        <w:rPr>
          <w:rFonts w:ascii="Times New Roman" w:hAnsi="Times New Roman" w:cs="Times New Roman"/>
          <w:i/>
          <w:sz w:val="24"/>
          <w:szCs w:val="24"/>
        </w:rPr>
        <w:t>et al</w:t>
      </w:r>
      <w:r>
        <w:rPr>
          <w:rFonts w:ascii="Times New Roman" w:hAnsi="Times New Roman" w:cs="Times New Roman"/>
          <w:sz w:val="24"/>
          <w:szCs w:val="24"/>
        </w:rPr>
        <w:t xml:space="preserve">. 2012). New thalli sizes were estimated as coming from a uniform distribution bounded at (0.124, 0.50) which reflect the range of the smallest thallus sizes encountered in the field study. </w:t>
      </w:r>
    </w:p>
    <w:p w14:paraId="7EA9CF1B" w14:textId="05CF1CF4" w:rsidR="000623F1" w:rsidRPr="00C54D60" w:rsidRDefault="000623F1" w:rsidP="000623F1">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We took a similar approach to modeling vital rates for all three species. For each IPM, representing different sites (bistorts and corals) or annual transitions (lichens), we fit separate models of each vital rate as continuous functions of size. For each vital rate, we fit multiple models and selected the best-supported model using AIC. We modeled survival as a binomial </w:t>
      </w:r>
      <w:proofErr w:type="spellStart"/>
      <w:r>
        <w:rPr>
          <w:rFonts w:ascii="Times New Roman" w:hAnsi="Times New Roman" w:cs="Times New Roman"/>
          <w:sz w:val="24"/>
          <w:szCs w:val="24"/>
        </w:rPr>
        <w:t>glm</w:t>
      </w:r>
      <w:proofErr w:type="spellEnd"/>
      <w:r>
        <w:rPr>
          <w:rFonts w:ascii="Times New Roman" w:hAnsi="Times New Roman" w:cs="Times New Roman"/>
          <w:sz w:val="24"/>
          <w:szCs w:val="24"/>
        </w:rPr>
        <w:t xml:space="preserve"> and reproduction as a linear model and considered models with size and with and without size</w:t>
      </w:r>
      <w:r>
        <w:rPr>
          <w:rFonts w:ascii="Times New Roman" w:hAnsi="Times New Roman" w:cs="Times New Roman"/>
          <w:sz w:val="24"/>
          <w:szCs w:val="24"/>
          <w:vertAlign w:val="superscript"/>
        </w:rPr>
        <w:t>2</w:t>
      </w:r>
      <w:r>
        <w:rPr>
          <w:rFonts w:ascii="Times New Roman" w:hAnsi="Times New Roman" w:cs="Times New Roman"/>
          <w:sz w:val="24"/>
          <w:szCs w:val="24"/>
        </w:rPr>
        <w:t>. We used the same binomial approach for the probability of reproducing, a separate parameter for bistorts. For the normal approach to growth modeling, we modeled size at time t+1 as linear, quadratic, or power functions of starting size. We modeled the variance in size at time t+1 with linear regressions with size, no intercept, and with or without size</w:t>
      </w:r>
      <w:r>
        <w:rPr>
          <w:rFonts w:ascii="Times New Roman" w:hAnsi="Times New Roman" w:cs="Times New Roman"/>
          <w:sz w:val="24"/>
          <w:szCs w:val="24"/>
          <w:vertAlign w:val="superscript"/>
        </w:rPr>
        <w:t>2</w:t>
      </w:r>
      <w:r>
        <w:rPr>
          <w:rFonts w:ascii="Times New Roman" w:hAnsi="Times New Roman" w:cs="Times New Roman"/>
          <w:sz w:val="24"/>
          <w:szCs w:val="24"/>
        </w:rPr>
        <w:t xml:space="preserve"> terms. For the beta approach, we fit quantile regressions to the 0.05 and 99.5 quantiles and used these values as estimates of the </w:t>
      </w:r>
      <w:proofErr w:type="spellStart"/>
      <w:r>
        <w:rPr>
          <w:rFonts w:ascii="Times New Roman" w:hAnsi="Times New Roman" w:cs="Times New Roman"/>
          <w:sz w:val="24"/>
          <w:szCs w:val="24"/>
        </w:rPr>
        <w:t>min</w:t>
      </w:r>
      <w:r w:rsidR="00E32427" w:rsidRPr="00E32427">
        <w:rPr>
          <w:rFonts w:ascii="Times New Roman" w:hAnsi="Times New Roman" w:cs="Times New Roman"/>
          <w:sz w:val="24"/>
          <w:szCs w:val="24"/>
          <w:vertAlign w:val="subscript"/>
        </w:rPr>
        <w:t>yt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max</w:t>
      </w:r>
      <w:r w:rsidR="00E32427" w:rsidRPr="00E32427">
        <w:rPr>
          <w:rFonts w:ascii="Times New Roman" w:hAnsi="Times New Roman" w:cs="Times New Roman"/>
          <w:sz w:val="24"/>
          <w:szCs w:val="24"/>
          <w:vertAlign w:val="subscript"/>
        </w:rPr>
        <w:t>yt</w:t>
      </w:r>
      <w:proofErr w:type="spellEnd"/>
      <w:r>
        <w:rPr>
          <w:rFonts w:ascii="Times New Roman" w:hAnsi="Times New Roman" w:cs="Times New Roman"/>
          <w:sz w:val="24"/>
          <w:szCs w:val="24"/>
        </w:rPr>
        <w:t xml:space="preserve"> values to transform size at time t+1 to a (0,1) interval according to eq. 2. We then fit beta regressions with size and with or without size</w:t>
      </w:r>
      <w:r>
        <w:rPr>
          <w:rFonts w:ascii="Times New Roman" w:hAnsi="Times New Roman" w:cs="Times New Roman"/>
          <w:sz w:val="24"/>
          <w:szCs w:val="24"/>
          <w:vertAlign w:val="superscript"/>
        </w:rPr>
        <w:t>2</w:t>
      </w:r>
      <w:r>
        <w:rPr>
          <w:rFonts w:ascii="Times New Roman" w:hAnsi="Times New Roman" w:cs="Times New Roman"/>
          <w:sz w:val="24"/>
          <w:szCs w:val="24"/>
        </w:rPr>
        <w:t xml:space="preserve"> effects on the mean and/or the precision. We discretized each IPM using the midpoint rule into</w:t>
      </w:r>
      <w:bookmarkStart w:id="0" w:name="_GoBack"/>
      <w:bookmarkEnd w:id="0"/>
      <w:r>
        <w:rPr>
          <w:rFonts w:ascii="Times New Roman" w:hAnsi="Times New Roman" w:cs="Times New Roman"/>
          <w:sz w:val="24"/>
          <w:szCs w:val="24"/>
        </w:rPr>
        <w:t xml:space="preserve"> matrices with 100 </w:t>
      </w:r>
      <w:r>
        <w:rPr>
          <w:rFonts w:ascii="Times New Roman" w:hAnsi="Times New Roman" w:cs="Times New Roman"/>
          <w:sz w:val="24"/>
          <w:szCs w:val="24"/>
        </w:rPr>
        <w:lastRenderedPageBreak/>
        <w:t xml:space="preserve">size classes. We calculated the population growth rate and the stable stage distribution as the dominant eigenvalue and eigenvector, respectively, of each matrix. We calculated the damping ratio as the ratio of the dominant eigenvalue to the absolute value of the second eigenvalue, and </w:t>
      </w:r>
      <w:r w:rsidRPr="002F441C">
        <w:rPr>
          <w:rFonts w:ascii="Times New Roman" w:hAnsi="Times New Roman" w:cs="Times New Roman"/>
          <w:sz w:val="24"/>
          <w:szCs w:val="24"/>
        </w:rPr>
        <w:t xml:space="preserve">the average lifespan as the </w:t>
      </w:r>
      <w:r>
        <w:rPr>
          <w:rFonts w:ascii="Times New Roman" w:hAnsi="Times New Roman" w:cs="Times New Roman"/>
          <w:sz w:val="24"/>
          <w:szCs w:val="24"/>
        </w:rPr>
        <w:t xml:space="preserve">age at which the probability of still being alive was first &lt;1%. </w:t>
      </w:r>
    </w:p>
    <w:p w14:paraId="537B36DD" w14:textId="77777777" w:rsidR="000623F1" w:rsidRDefault="000623F1" w:rsidP="000623F1">
      <w:pPr>
        <w:spacing w:line="480" w:lineRule="auto"/>
        <w:rPr>
          <w:rFonts w:ascii="Times New Roman" w:hAnsi="Times New Roman" w:cs="Times New Roman"/>
          <w:b/>
          <w:sz w:val="24"/>
          <w:szCs w:val="24"/>
        </w:rPr>
      </w:pPr>
      <w:r>
        <w:rPr>
          <w:rFonts w:ascii="Times New Roman" w:hAnsi="Times New Roman" w:cs="Times New Roman"/>
          <w:b/>
          <w:sz w:val="24"/>
          <w:szCs w:val="24"/>
        </w:rPr>
        <w:t>Comparison to a matrix projection model</w:t>
      </w:r>
    </w:p>
    <w:p w14:paraId="38F48DE2" w14:textId="77777777" w:rsidR="000623F1" w:rsidRPr="00587503" w:rsidRDefault="000623F1" w:rsidP="000623F1">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For each species, we compared the results of each IPM to a matrix projection model with 20 size classes. Population growth rates from IPMs for each of these species converge when discretized with 20 or more bins (D. </w:t>
      </w:r>
      <w:proofErr w:type="spellStart"/>
      <w:r>
        <w:rPr>
          <w:rFonts w:ascii="Times New Roman" w:hAnsi="Times New Roman" w:cs="Times New Roman"/>
          <w:sz w:val="24"/>
          <w:szCs w:val="24"/>
        </w:rPr>
        <w:t>Doak</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unpubl</w:t>
      </w:r>
      <w:proofErr w:type="spellEnd"/>
      <w:r>
        <w:rPr>
          <w:rFonts w:ascii="Times New Roman" w:hAnsi="Times New Roman" w:cs="Times New Roman"/>
          <w:i/>
          <w:sz w:val="24"/>
          <w:szCs w:val="24"/>
        </w:rPr>
        <w:t>. data</w:t>
      </w:r>
      <w:r>
        <w:rPr>
          <w:rFonts w:ascii="Times New Roman" w:hAnsi="Times New Roman" w:cs="Times New Roman"/>
          <w:sz w:val="24"/>
          <w:szCs w:val="24"/>
        </w:rPr>
        <w:t xml:space="preserve">), suggesting that a 20 x 20 matrix projection model is of sufficiently high-dimension. We estimated transition rates by using the observed survival and size transition rates and the mean fecundity of each size class. To ensure sufficient sample sizes in the largest size classes, we used all the data for each species (pooling across sites and years). We compared the outputs from this model to IPMs fit to the same pooled dataset using either the beta or normal approach as described above, and discretized using the midpoint rule into matrices with the same 20 size classes. </w:t>
      </w:r>
    </w:p>
    <w:p w14:paraId="18F3E987" w14:textId="77777777" w:rsidR="000623F1" w:rsidRDefault="000623F1" w:rsidP="000623F1">
      <w:pPr>
        <w:spacing w:line="480" w:lineRule="auto"/>
        <w:rPr>
          <w:rFonts w:ascii="Times New Roman" w:hAnsi="Times New Roman" w:cs="Times New Roman"/>
          <w:b/>
          <w:sz w:val="24"/>
          <w:szCs w:val="24"/>
        </w:rPr>
      </w:pPr>
    </w:p>
    <w:p w14:paraId="60528C06" w14:textId="77777777" w:rsidR="000623F1" w:rsidRPr="0027096E" w:rsidRDefault="000623F1" w:rsidP="000623F1">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REFERENCES</w:t>
      </w:r>
    </w:p>
    <w:p w14:paraId="5CF12B09" w14:textId="77777777" w:rsidR="000623F1" w:rsidRPr="000623F1" w:rsidRDefault="000623F1" w:rsidP="000623F1">
      <w:pPr>
        <w:pStyle w:val="EndNoteBibliography"/>
        <w:ind w:left="720" w:hanging="720"/>
      </w:pPr>
      <w:r>
        <w:fldChar w:fldCharType="begin"/>
      </w:r>
      <w:r>
        <w:instrText xml:space="preserve"> ADDIN EN.REFLIST </w:instrText>
      </w:r>
      <w:r>
        <w:fldChar w:fldCharType="separate"/>
      </w:r>
      <w:r w:rsidRPr="000623F1">
        <w:t xml:space="preserve">Coma, R., Zabala, M. &amp; Gili, J. (1995) Sexual reproductive effort in the Mediterranean gorgonian </w:t>
      </w:r>
      <w:r w:rsidRPr="000623F1">
        <w:rPr>
          <w:i/>
        </w:rPr>
        <w:t>Paramuricea clavata</w:t>
      </w:r>
      <w:r w:rsidRPr="000623F1">
        <w:t xml:space="preserve">. </w:t>
      </w:r>
      <w:r w:rsidRPr="000623F1">
        <w:rPr>
          <w:i/>
        </w:rPr>
        <w:t>Marine Ecology Progress Series,</w:t>
      </w:r>
      <w:r w:rsidRPr="000623F1">
        <w:t xml:space="preserve"> </w:t>
      </w:r>
      <w:r w:rsidRPr="000623F1">
        <w:rPr>
          <w:b/>
        </w:rPr>
        <w:t>117,</w:t>
      </w:r>
      <w:r w:rsidRPr="000623F1">
        <w:t xml:space="preserve"> 185-192.</w:t>
      </w:r>
    </w:p>
    <w:p w14:paraId="4330C941" w14:textId="77777777" w:rsidR="000623F1" w:rsidRPr="000623F1" w:rsidRDefault="000623F1" w:rsidP="000623F1">
      <w:pPr>
        <w:pStyle w:val="EndNoteBibliography"/>
        <w:ind w:left="720" w:hanging="720"/>
      </w:pPr>
      <w:r w:rsidRPr="000623F1">
        <w:t xml:space="preserve">Doak, D.F. &amp; Morris, W.F. (2010) Demographic compensation and tipping points in climate-induced range shifts. </w:t>
      </w:r>
      <w:r w:rsidRPr="000623F1">
        <w:rPr>
          <w:i/>
        </w:rPr>
        <w:t>Nature,</w:t>
      </w:r>
      <w:r w:rsidRPr="000623F1">
        <w:t xml:space="preserve"> </w:t>
      </w:r>
      <w:r w:rsidRPr="000623F1">
        <w:rPr>
          <w:b/>
        </w:rPr>
        <w:t>467,</w:t>
      </w:r>
      <w:r w:rsidRPr="000623F1">
        <w:t xml:space="preserve"> 959-962.</w:t>
      </w:r>
    </w:p>
    <w:p w14:paraId="0AFC8DF8" w14:textId="77777777" w:rsidR="000623F1" w:rsidRPr="000623F1" w:rsidRDefault="000623F1" w:rsidP="000623F1">
      <w:pPr>
        <w:pStyle w:val="EndNoteBibliography"/>
        <w:ind w:left="720" w:hanging="720"/>
      </w:pPr>
      <w:r w:rsidRPr="000623F1">
        <w:t xml:space="preserve">Linares, C., Doak, D., Coma, R., Díaz, D. &amp; Zabala, M. (2007) Life history and viability of a long-lived marine invertebrate: the octocoral </w:t>
      </w:r>
      <w:r w:rsidRPr="000623F1">
        <w:rPr>
          <w:i/>
        </w:rPr>
        <w:t>Paramuricea clavata</w:t>
      </w:r>
      <w:r w:rsidRPr="000623F1">
        <w:t xml:space="preserve">. </w:t>
      </w:r>
      <w:r w:rsidRPr="000623F1">
        <w:rPr>
          <w:i/>
        </w:rPr>
        <w:t>Ecology,</w:t>
      </w:r>
      <w:r w:rsidRPr="000623F1">
        <w:t xml:space="preserve"> </w:t>
      </w:r>
      <w:r w:rsidRPr="000623F1">
        <w:rPr>
          <w:b/>
        </w:rPr>
        <w:t>88,</w:t>
      </w:r>
      <w:r w:rsidRPr="000623F1">
        <w:t xml:space="preserve"> 918-928.</w:t>
      </w:r>
    </w:p>
    <w:p w14:paraId="15AFCE53" w14:textId="77777777" w:rsidR="000623F1" w:rsidRPr="000623F1" w:rsidRDefault="000623F1" w:rsidP="000623F1">
      <w:pPr>
        <w:pStyle w:val="EndNoteBibliography"/>
        <w:ind w:left="720" w:hanging="720"/>
      </w:pPr>
      <w:r w:rsidRPr="000623F1">
        <w:t xml:space="preserve">Linares, C. &amp; Doak, D.F. (2010) Forecasting the combined effects of disparate disturbances on the persistence of long-lived gorgonians: a case study of </w:t>
      </w:r>
      <w:r w:rsidRPr="000623F1">
        <w:rPr>
          <w:i/>
        </w:rPr>
        <w:t>Paramuricea clavata</w:t>
      </w:r>
      <w:r w:rsidRPr="000623F1">
        <w:t xml:space="preserve">. </w:t>
      </w:r>
      <w:r w:rsidRPr="000623F1">
        <w:rPr>
          <w:i/>
        </w:rPr>
        <w:t>Marine Ecology Progress Series,</w:t>
      </w:r>
      <w:r w:rsidRPr="000623F1">
        <w:t xml:space="preserve"> </w:t>
      </w:r>
      <w:r w:rsidRPr="000623F1">
        <w:rPr>
          <w:b/>
        </w:rPr>
        <w:t>402,</w:t>
      </w:r>
      <w:r w:rsidRPr="000623F1">
        <w:t xml:space="preserve"> 59-68.</w:t>
      </w:r>
    </w:p>
    <w:p w14:paraId="1C410650" w14:textId="77777777" w:rsidR="000623F1" w:rsidRPr="000623F1" w:rsidRDefault="000623F1" w:rsidP="000623F1">
      <w:pPr>
        <w:pStyle w:val="EndNoteBibliography"/>
        <w:ind w:left="720" w:hanging="720"/>
      </w:pPr>
      <w:r w:rsidRPr="000623F1">
        <w:t xml:space="preserve">Shriver, R.K., Cutler, K. &amp; Doak, D.F. (2012) Comparative demography of an epiphytic lichen: support for general life history patterns and solutions to common problems in demographic parameter estimation. </w:t>
      </w:r>
      <w:r w:rsidRPr="000623F1">
        <w:rPr>
          <w:i/>
        </w:rPr>
        <w:t>Oecologia,</w:t>
      </w:r>
      <w:r w:rsidRPr="000623F1">
        <w:t xml:space="preserve"> </w:t>
      </w:r>
      <w:r w:rsidRPr="000623F1">
        <w:rPr>
          <w:b/>
        </w:rPr>
        <w:t>170,</w:t>
      </w:r>
      <w:r w:rsidRPr="000623F1">
        <w:t xml:space="preserve"> 137-146.</w:t>
      </w:r>
    </w:p>
    <w:p w14:paraId="11C73118" w14:textId="77777777" w:rsidR="000623F1" w:rsidRDefault="000623F1" w:rsidP="000623F1">
      <w:pPr>
        <w:rPr>
          <w:rFonts w:ascii="Times New Roman" w:hAnsi="Times New Roman" w:cs="Times New Roman"/>
          <w:sz w:val="24"/>
          <w:szCs w:val="24"/>
        </w:rPr>
      </w:pPr>
      <w:r>
        <w:rPr>
          <w:rFonts w:ascii="Times New Roman" w:hAnsi="Times New Roman" w:cs="Times New Roman"/>
          <w:sz w:val="24"/>
          <w:szCs w:val="24"/>
        </w:rPr>
        <w:fldChar w:fldCharType="end"/>
      </w:r>
    </w:p>
    <w:p w14:paraId="6EEBA40F" w14:textId="77777777" w:rsidR="000623F1" w:rsidRDefault="000623F1" w:rsidP="000623F1">
      <w:pPr>
        <w:rPr>
          <w:rFonts w:ascii="Times New Roman" w:hAnsi="Times New Roman" w:cs="Times New Roman"/>
          <w:sz w:val="24"/>
          <w:szCs w:val="24"/>
        </w:rPr>
      </w:pPr>
    </w:p>
    <w:p w14:paraId="1A5BAADF" w14:textId="77777777" w:rsidR="000623F1" w:rsidRDefault="000623F1" w:rsidP="000623F1">
      <w:pPr>
        <w:rPr>
          <w:rFonts w:ascii="Times New Roman" w:hAnsi="Times New Roman" w:cs="Times New Roman"/>
          <w:sz w:val="24"/>
          <w:szCs w:val="24"/>
        </w:rPr>
      </w:pPr>
    </w:p>
    <w:p w14:paraId="0672D966" w14:textId="6101BA79" w:rsidR="007C1996" w:rsidRDefault="007C1996" w:rsidP="000623F1">
      <w:pPr>
        <w:rPr>
          <w:rFonts w:ascii="Times New Roman" w:hAnsi="Times New Roman" w:cs="Times New Roman"/>
          <w:b/>
          <w:sz w:val="24"/>
          <w:szCs w:val="24"/>
        </w:rPr>
      </w:pPr>
      <w:r>
        <w:rPr>
          <w:rFonts w:ascii="Times New Roman" w:hAnsi="Times New Roman" w:cs="Times New Roman"/>
          <w:b/>
          <w:sz w:val="24"/>
          <w:szCs w:val="24"/>
        </w:rPr>
        <w:lastRenderedPageBreak/>
        <w:t>SUPPORTING FIGURES</w:t>
      </w:r>
    </w:p>
    <w:p w14:paraId="6090D391" w14:textId="32DE6A90" w:rsidR="007C1996" w:rsidRDefault="007C1996">
      <w:pPr>
        <w:rPr>
          <w:rFonts w:ascii="Times New Roman" w:hAnsi="Times New Roman" w:cs="Times New Roman"/>
          <w:b/>
          <w:sz w:val="24"/>
          <w:szCs w:val="24"/>
        </w:rPr>
      </w:pPr>
    </w:p>
    <w:p w14:paraId="19AAE584" w14:textId="7AC03F3B" w:rsidR="00F55AAF" w:rsidRDefault="00F55AAF">
      <w:pPr>
        <w:rPr>
          <w:rFonts w:ascii="Times New Roman" w:hAnsi="Times New Roman" w:cs="Times New Roman"/>
          <w:b/>
          <w:sz w:val="24"/>
          <w:szCs w:val="24"/>
        </w:rPr>
      </w:pPr>
      <w:r w:rsidRPr="00F55AAF">
        <w:rPr>
          <w:rFonts w:ascii="Times New Roman" w:hAnsi="Times New Roman" w:cs="Times New Roman"/>
          <w:b/>
          <w:noProof/>
          <w:sz w:val="24"/>
          <w:szCs w:val="24"/>
        </w:rPr>
        <w:drawing>
          <wp:inline distT="0" distB="0" distL="0" distR="0" wp14:anchorId="6B7E5EAB" wp14:editId="3D04C32C">
            <wp:extent cx="5943600" cy="180333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03337"/>
                    </a:xfrm>
                    <a:prstGeom prst="rect">
                      <a:avLst/>
                    </a:prstGeom>
                    <a:noFill/>
                    <a:ln>
                      <a:noFill/>
                    </a:ln>
                  </pic:spPr>
                </pic:pic>
              </a:graphicData>
            </a:graphic>
          </wp:inline>
        </w:drawing>
      </w:r>
    </w:p>
    <w:p w14:paraId="3C46A8E1" w14:textId="1CC14078" w:rsidR="00F55AAF" w:rsidRDefault="00F55AAF">
      <w:pPr>
        <w:rPr>
          <w:rFonts w:ascii="Times New Roman" w:hAnsi="Times New Roman" w:cs="Times New Roman"/>
          <w:b/>
          <w:sz w:val="24"/>
          <w:szCs w:val="24"/>
        </w:rPr>
      </w:pPr>
    </w:p>
    <w:p w14:paraId="2DFB5B48" w14:textId="294C5E41" w:rsidR="000623F1" w:rsidRDefault="00F55AAF" w:rsidP="000623F1">
      <w:pPr>
        <w:spacing w:line="480" w:lineRule="auto"/>
        <w:rPr>
          <w:rFonts w:ascii="Times New Roman" w:hAnsi="Times New Roman" w:cs="Times New Roman"/>
          <w:sz w:val="24"/>
          <w:szCs w:val="24"/>
        </w:rPr>
        <w:sectPr w:rsidR="000623F1" w:rsidSect="000F39DA">
          <w:footerReference w:type="default" r:id="rId7"/>
          <w:pgSz w:w="12240" w:h="15840"/>
          <w:pgMar w:top="1440" w:right="1440" w:bottom="1440" w:left="1440" w:header="720" w:footer="720" w:gutter="0"/>
          <w:lnNumType w:countBy="1" w:restart="continuous"/>
          <w:cols w:space="720"/>
          <w:docGrid w:linePitch="360"/>
        </w:sectPr>
      </w:pPr>
      <w:r>
        <w:rPr>
          <w:rFonts w:ascii="Times New Roman" w:hAnsi="Times New Roman" w:cs="Times New Roman"/>
          <w:sz w:val="24"/>
          <w:szCs w:val="24"/>
        </w:rPr>
        <w:t>Figure S1: Examples of the flexib</w:t>
      </w:r>
      <w:r w:rsidR="00094F42">
        <w:rPr>
          <w:rFonts w:ascii="Times New Roman" w:hAnsi="Times New Roman" w:cs="Times New Roman"/>
          <w:sz w:val="24"/>
          <w:szCs w:val="24"/>
        </w:rPr>
        <w:t>ility of the beta distribution, which can be either A) right skewed, B) symmetric, or C) left skewed, depending on the mean value (0.3, 0.5, and 0.8, respectively) and variances (solid lines = 0.01, dashed lines = 0.03, dotted lines = 0.06). Note that for very high variances, the beta distribution can also take a U-shape,</w:t>
      </w:r>
      <w:r w:rsidR="0091083B">
        <w:rPr>
          <w:rFonts w:ascii="Times New Roman" w:hAnsi="Times New Roman" w:cs="Times New Roman"/>
          <w:sz w:val="24"/>
          <w:szCs w:val="24"/>
        </w:rPr>
        <w:t xml:space="preserve"> with high density near 0 and 1,</w:t>
      </w:r>
      <w:r w:rsidR="00094F42">
        <w:rPr>
          <w:rFonts w:ascii="Times New Roman" w:hAnsi="Times New Roman" w:cs="Times New Roman"/>
          <w:sz w:val="24"/>
          <w:szCs w:val="24"/>
        </w:rPr>
        <w:t xml:space="preserve"> although this is unlikely to be us</w:t>
      </w:r>
      <w:r w:rsidR="000623F1">
        <w:rPr>
          <w:rFonts w:ascii="Times New Roman" w:hAnsi="Times New Roman" w:cs="Times New Roman"/>
          <w:sz w:val="24"/>
          <w:szCs w:val="24"/>
        </w:rPr>
        <w:t xml:space="preserve">eful for modeling growth data. </w:t>
      </w:r>
    </w:p>
    <w:p w14:paraId="6EAA994A" w14:textId="02BBFDE5" w:rsidR="00F55AAF" w:rsidRDefault="00F55AAF" w:rsidP="000623F1">
      <w:pPr>
        <w:spacing w:line="480" w:lineRule="auto"/>
        <w:rPr>
          <w:rFonts w:ascii="Times New Roman" w:hAnsi="Times New Roman" w:cs="Times New Roman"/>
          <w:b/>
          <w:sz w:val="24"/>
          <w:szCs w:val="24"/>
        </w:rPr>
      </w:pPr>
    </w:p>
    <w:p w14:paraId="2F59E9EB" w14:textId="61D60BF5" w:rsidR="005A0E88" w:rsidRDefault="00BC7F51" w:rsidP="000623F1">
      <w:pPr>
        <w:spacing w:line="480" w:lineRule="auto"/>
        <w:rPr>
          <w:rFonts w:ascii="Times New Roman" w:hAnsi="Times New Roman" w:cs="Times New Roman"/>
          <w:sz w:val="24"/>
          <w:szCs w:val="24"/>
        </w:rPr>
      </w:pPr>
      <w:r w:rsidRPr="00BC7F51">
        <w:rPr>
          <w:rFonts w:ascii="Times New Roman" w:hAnsi="Times New Roman" w:cs="Times New Roman"/>
          <w:noProof/>
          <w:sz w:val="24"/>
          <w:szCs w:val="24"/>
        </w:rPr>
        <w:drawing>
          <wp:inline distT="0" distB="0" distL="0" distR="0" wp14:anchorId="3C905800" wp14:editId="3ACC89F0">
            <wp:extent cx="3171825" cy="263942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689" cy="2648467"/>
                    </a:xfrm>
                    <a:prstGeom prst="rect">
                      <a:avLst/>
                    </a:prstGeom>
                    <a:noFill/>
                    <a:ln>
                      <a:noFill/>
                    </a:ln>
                  </pic:spPr>
                </pic:pic>
              </a:graphicData>
            </a:graphic>
          </wp:inline>
        </w:drawing>
      </w:r>
    </w:p>
    <w:p w14:paraId="38501A66" w14:textId="0C696E93" w:rsidR="000623F1" w:rsidRDefault="00BC7F51" w:rsidP="000623F1">
      <w:pPr>
        <w:spacing w:line="480" w:lineRule="auto"/>
        <w:rPr>
          <w:rFonts w:ascii="Times New Roman" w:hAnsi="Times New Roman" w:cs="Times New Roman"/>
          <w:sz w:val="24"/>
          <w:szCs w:val="24"/>
        </w:rPr>
        <w:sectPr w:rsidR="000623F1" w:rsidSect="000F39DA">
          <w:pgSz w:w="12240" w:h="15840"/>
          <w:pgMar w:top="1440" w:right="1440" w:bottom="1440" w:left="1440" w:header="720" w:footer="720" w:gutter="0"/>
          <w:lnNumType w:countBy="1" w:restart="continuous"/>
          <w:cols w:space="720"/>
          <w:docGrid w:linePitch="360"/>
        </w:sectPr>
      </w:pPr>
      <w:r>
        <w:rPr>
          <w:rFonts w:ascii="Times New Roman" w:hAnsi="Times New Roman" w:cs="Times New Roman"/>
          <w:sz w:val="24"/>
          <w:szCs w:val="24"/>
        </w:rPr>
        <w:t>Figure S</w:t>
      </w:r>
      <w:r w:rsidR="003F5257">
        <w:rPr>
          <w:rFonts w:ascii="Times New Roman" w:hAnsi="Times New Roman" w:cs="Times New Roman"/>
          <w:sz w:val="24"/>
          <w:szCs w:val="24"/>
        </w:rPr>
        <w:t>2</w:t>
      </w:r>
      <w:r>
        <w:rPr>
          <w:rFonts w:ascii="Times New Roman" w:hAnsi="Times New Roman" w:cs="Times New Roman"/>
          <w:sz w:val="24"/>
          <w:szCs w:val="24"/>
        </w:rPr>
        <w:t xml:space="preserve">: Comparison of beta vs. normal fitted probability density functions to the observed distribution of size at time t+1 for gorgonian coral with starting size of 60. </w:t>
      </w:r>
      <w:r w:rsidR="003F5257">
        <w:rPr>
          <w:rFonts w:ascii="Times New Roman" w:hAnsi="Times New Roman" w:cs="Times New Roman"/>
          <w:sz w:val="24"/>
          <w:szCs w:val="24"/>
        </w:rPr>
        <w:t xml:space="preserve">The fit of both the beta and normal approaches are driven by the bulk of </w:t>
      </w:r>
      <w:proofErr w:type="spellStart"/>
      <w:r w:rsidR="003F5257">
        <w:rPr>
          <w:rFonts w:ascii="Times New Roman" w:hAnsi="Times New Roman" w:cs="Times New Roman"/>
          <w:sz w:val="24"/>
          <w:szCs w:val="24"/>
        </w:rPr>
        <w:t>datapoints</w:t>
      </w:r>
      <w:proofErr w:type="spellEnd"/>
      <w:r w:rsidR="003F5257">
        <w:rPr>
          <w:rFonts w:ascii="Times New Roman" w:hAnsi="Times New Roman" w:cs="Times New Roman"/>
          <w:sz w:val="24"/>
          <w:szCs w:val="24"/>
        </w:rPr>
        <w:t xml:space="preserve"> at smaller sizes and neither approach is accurately capturing the distribution of sparse, larger sizes. T</w:t>
      </w:r>
      <w:r>
        <w:rPr>
          <w:rFonts w:ascii="Times New Roman" w:hAnsi="Times New Roman" w:cs="Times New Roman"/>
          <w:sz w:val="24"/>
          <w:szCs w:val="24"/>
        </w:rPr>
        <w:t>he beta regression is estimating lower mean values</w:t>
      </w:r>
      <w:r w:rsidR="003F5257">
        <w:rPr>
          <w:rFonts w:ascii="Times New Roman" w:hAnsi="Times New Roman" w:cs="Times New Roman"/>
          <w:sz w:val="24"/>
          <w:szCs w:val="24"/>
        </w:rPr>
        <w:t xml:space="preserve"> than the normal approach</w:t>
      </w:r>
      <w:r>
        <w:rPr>
          <w:rFonts w:ascii="Times New Roman" w:hAnsi="Times New Roman" w:cs="Times New Roman"/>
          <w:sz w:val="24"/>
          <w:szCs w:val="24"/>
        </w:rPr>
        <w:t xml:space="preserve"> but also high</w:t>
      </w:r>
      <w:r w:rsidR="003F5257">
        <w:rPr>
          <w:rFonts w:ascii="Times New Roman" w:hAnsi="Times New Roman" w:cs="Times New Roman"/>
          <w:sz w:val="24"/>
          <w:szCs w:val="24"/>
        </w:rPr>
        <w:t>er</w:t>
      </w:r>
      <w:r>
        <w:rPr>
          <w:rFonts w:ascii="Times New Roman" w:hAnsi="Times New Roman" w:cs="Times New Roman"/>
          <w:sz w:val="24"/>
          <w:szCs w:val="24"/>
        </w:rPr>
        <w:t xml:space="preserve"> variance (see also Figure 2E). Histogram gives the observed distribution of size at t+1 for individuals with starting sizes </w:t>
      </w:r>
      <w:r w:rsidR="00B50B5D">
        <w:rPr>
          <w:rFonts w:ascii="Times New Roman" w:hAnsi="Times New Roman" w:cs="Times New Roman"/>
          <w:sz w:val="24"/>
          <w:szCs w:val="24"/>
        </w:rPr>
        <w:t xml:space="preserve">from </w:t>
      </w:r>
      <w:r>
        <w:rPr>
          <w:rFonts w:ascii="Times New Roman" w:hAnsi="Times New Roman" w:cs="Times New Roman"/>
          <w:sz w:val="24"/>
          <w:szCs w:val="24"/>
        </w:rPr>
        <w:t>5</w:t>
      </w:r>
      <w:r w:rsidR="00B50B5D">
        <w:rPr>
          <w:rFonts w:ascii="Times New Roman" w:hAnsi="Times New Roman" w:cs="Times New Roman"/>
          <w:sz w:val="24"/>
          <w:szCs w:val="24"/>
        </w:rPr>
        <w:t>9</w:t>
      </w:r>
      <w:r>
        <w:rPr>
          <w:rFonts w:ascii="Times New Roman" w:hAnsi="Times New Roman" w:cs="Times New Roman"/>
          <w:sz w:val="24"/>
          <w:szCs w:val="24"/>
        </w:rPr>
        <w:t>-6</w:t>
      </w:r>
      <w:r w:rsidR="00B50B5D">
        <w:rPr>
          <w:rFonts w:ascii="Times New Roman" w:hAnsi="Times New Roman" w:cs="Times New Roman"/>
          <w:sz w:val="24"/>
          <w:szCs w:val="24"/>
        </w:rPr>
        <w:t>1</w:t>
      </w:r>
      <w:r w:rsidR="000623F1">
        <w:rPr>
          <w:rFonts w:ascii="Times New Roman" w:hAnsi="Times New Roman" w:cs="Times New Roman"/>
          <w:sz w:val="24"/>
          <w:szCs w:val="24"/>
        </w:rPr>
        <w:t>.</w:t>
      </w:r>
    </w:p>
    <w:p w14:paraId="7C9437DD" w14:textId="74118EE6" w:rsidR="00884F3B" w:rsidRDefault="00884F3B" w:rsidP="000623F1">
      <w:pPr>
        <w:spacing w:line="480" w:lineRule="auto"/>
        <w:rPr>
          <w:rFonts w:ascii="Times New Roman" w:hAnsi="Times New Roman" w:cs="Times New Roman"/>
          <w:sz w:val="24"/>
          <w:szCs w:val="24"/>
        </w:rPr>
      </w:pPr>
    </w:p>
    <w:p w14:paraId="17A25581" w14:textId="49524B52" w:rsidR="00884F3B" w:rsidRDefault="00884F3B" w:rsidP="000623F1">
      <w:pPr>
        <w:spacing w:line="480" w:lineRule="auto"/>
        <w:rPr>
          <w:rFonts w:ascii="Times New Roman" w:hAnsi="Times New Roman" w:cs="Times New Roman"/>
          <w:sz w:val="24"/>
          <w:szCs w:val="24"/>
        </w:rPr>
      </w:pPr>
      <w:r w:rsidRPr="00884F3B">
        <w:rPr>
          <w:rFonts w:ascii="Times New Roman" w:hAnsi="Times New Roman" w:cs="Times New Roman"/>
          <w:noProof/>
          <w:sz w:val="24"/>
          <w:szCs w:val="24"/>
        </w:rPr>
        <w:drawing>
          <wp:inline distT="0" distB="0" distL="0" distR="0" wp14:anchorId="21E4C441" wp14:editId="2AE25E8F">
            <wp:extent cx="5943600" cy="24072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7282"/>
                    </a:xfrm>
                    <a:prstGeom prst="rect">
                      <a:avLst/>
                    </a:prstGeom>
                    <a:noFill/>
                    <a:ln>
                      <a:noFill/>
                    </a:ln>
                  </pic:spPr>
                </pic:pic>
              </a:graphicData>
            </a:graphic>
          </wp:inline>
        </w:drawing>
      </w:r>
    </w:p>
    <w:p w14:paraId="75206B8B" w14:textId="072101D1" w:rsidR="00884F3B" w:rsidRDefault="00884F3B" w:rsidP="000623F1">
      <w:pPr>
        <w:spacing w:line="480" w:lineRule="auto"/>
        <w:rPr>
          <w:rFonts w:ascii="Times New Roman" w:hAnsi="Times New Roman" w:cs="Times New Roman"/>
          <w:sz w:val="24"/>
          <w:szCs w:val="24"/>
        </w:rPr>
      </w:pPr>
    </w:p>
    <w:p w14:paraId="470086EB" w14:textId="1A7C30CD" w:rsidR="000623F1" w:rsidRDefault="00884F3B" w:rsidP="000623F1">
      <w:pPr>
        <w:spacing w:line="480" w:lineRule="auto"/>
        <w:rPr>
          <w:rFonts w:ascii="Times New Roman" w:hAnsi="Times New Roman" w:cs="Times New Roman"/>
          <w:sz w:val="24"/>
          <w:szCs w:val="24"/>
        </w:rPr>
        <w:sectPr w:rsidR="000623F1" w:rsidSect="000F39DA">
          <w:pgSz w:w="12240" w:h="15840"/>
          <w:pgMar w:top="1440" w:right="1440" w:bottom="1440" w:left="1440" w:header="720" w:footer="720" w:gutter="0"/>
          <w:lnNumType w:countBy="1" w:restart="continuous"/>
          <w:cols w:space="720"/>
          <w:docGrid w:linePitch="360"/>
        </w:sectPr>
      </w:pPr>
      <w:r>
        <w:rPr>
          <w:rFonts w:ascii="Times New Roman" w:hAnsi="Times New Roman" w:cs="Times New Roman"/>
          <w:sz w:val="24"/>
          <w:szCs w:val="24"/>
        </w:rPr>
        <w:t>Figure S3: Comparison of parametric and non-parametric beta models</w:t>
      </w:r>
      <w:r w:rsidR="00585399">
        <w:rPr>
          <w:rFonts w:ascii="Times New Roman" w:hAnsi="Times New Roman" w:cs="Times New Roman"/>
          <w:sz w:val="24"/>
          <w:szCs w:val="24"/>
        </w:rPr>
        <w:t xml:space="preserve"> of growth in red gorgonian coral</w:t>
      </w:r>
      <w:r>
        <w:rPr>
          <w:rFonts w:ascii="Times New Roman" w:hAnsi="Times New Roman" w:cs="Times New Roman"/>
          <w:sz w:val="24"/>
          <w:szCs w:val="24"/>
        </w:rPr>
        <w:t xml:space="preserve">. Lines show the mean (solid lines) and 95% prediction intervals (dashed lines) from a parametric beta regression with linear and quadratic effects of size on the mean and precision fit with the </w:t>
      </w:r>
      <w:proofErr w:type="spellStart"/>
      <w:r>
        <w:rPr>
          <w:rFonts w:ascii="Times New Roman" w:hAnsi="Times New Roman" w:cs="Times New Roman"/>
          <w:sz w:val="24"/>
          <w:szCs w:val="24"/>
        </w:rPr>
        <w:t>betareg</w:t>
      </w:r>
      <w:proofErr w:type="spellEnd"/>
      <w:r>
        <w:rPr>
          <w:rFonts w:ascii="Times New Roman" w:hAnsi="Times New Roman" w:cs="Times New Roman"/>
          <w:sz w:val="24"/>
          <w:szCs w:val="24"/>
        </w:rPr>
        <w:t xml:space="preserve"> package (blue) or from a non-parametric model with the mean and standard deviation as cubic splines of size fit with the </w:t>
      </w:r>
      <w:proofErr w:type="spellStart"/>
      <w:r>
        <w:rPr>
          <w:rFonts w:ascii="Times New Roman" w:hAnsi="Times New Roman" w:cs="Times New Roman"/>
          <w:sz w:val="24"/>
          <w:szCs w:val="24"/>
        </w:rPr>
        <w:t>gamlss</w:t>
      </w:r>
      <w:proofErr w:type="spellEnd"/>
      <w:r>
        <w:rPr>
          <w:rFonts w:ascii="Times New Roman" w:hAnsi="Times New Roman" w:cs="Times New Roman"/>
          <w:sz w:val="24"/>
          <w:szCs w:val="24"/>
        </w:rPr>
        <w:t xml:space="preserve"> package (black). Example code </w:t>
      </w:r>
      <w:r w:rsidR="00DD5AA7">
        <w:rPr>
          <w:rFonts w:ascii="Times New Roman" w:hAnsi="Times New Roman" w:cs="Times New Roman"/>
          <w:sz w:val="24"/>
          <w:szCs w:val="24"/>
        </w:rPr>
        <w:t xml:space="preserve">to fit these models </w:t>
      </w:r>
      <w:r w:rsidR="000623F1">
        <w:rPr>
          <w:rFonts w:ascii="Times New Roman" w:hAnsi="Times New Roman" w:cs="Times New Roman"/>
          <w:sz w:val="24"/>
          <w:szCs w:val="24"/>
        </w:rPr>
        <w:t>is given in Appendix 4.</w:t>
      </w:r>
    </w:p>
    <w:p w14:paraId="4ECD0431" w14:textId="384344FE" w:rsidR="00101632" w:rsidRDefault="00101632" w:rsidP="000623F1">
      <w:pPr>
        <w:spacing w:line="480" w:lineRule="auto"/>
        <w:rPr>
          <w:rFonts w:ascii="Times New Roman" w:hAnsi="Times New Roman" w:cs="Times New Roman"/>
          <w:sz w:val="24"/>
          <w:szCs w:val="24"/>
        </w:rPr>
      </w:pPr>
    </w:p>
    <w:p w14:paraId="5E67777E" w14:textId="58F014D4" w:rsidR="00101632" w:rsidRDefault="001F36CB" w:rsidP="000623F1">
      <w:pPr>
        <w:spacing w:line="480" w:lineRule="auto"/>
        <w:rPr>
          <w:rFonts w:ascii="Times New Roman" w:hAnsi="Times New Roman" w:cs="Times New Roman"/>
          <w:sz w:val="24"/>
          <w:szCs w:val="24"/>
        </w:rPr>
      </w:pPr>
      <w:r w:rsidRPr="001F36CB">
        <w:rPr>
          <w:rFonts w:ascii="Times New Roman" w:hAnsi="Times New Roman" w:cs="Times New Roman"/>
          <w:noProof/>
          <w:sz w:val="24"/>
          <w:szCs w:val="24"/>
        </w:rPr>
        <w:drawing>
          <wp:inline distT="0" distB="0" distL="0" distR="0" wp14:anchorId="45590B0D" wp14:editId="6DA52DB1">
            <wp:extent cx="5943600" cy="483547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35471"/>
                    </a:xfrm>
                    <a:prstGeom prst="rect">
                      <a:avLst/>
                    </a:prstGeom>
                    <a:noFill/>
                    <a:ln>
                      <a:noFill/>
                    </a:ln>
                  </pic:spPr>
                </pic:pic>
              </a:graphicData>
            </a:graphic>
          </wp:inline>
        </w:drawing>
      </w:r>
    </w:p>
    <w:p w14:paraId="37210712" w14:textId="631BE029" w:rsidR="000623F1" w:rsidRDefault="00101632" w:rsidP="000623F1">
      <w:pPr>
        <w:spacing w:line="480" w:lineRule="auto"/>
        <w:rPr>
          <w:rFonts w:ascii="Times New Roman" w:hAnsi="Times New Roman" w:cs="Times New Roman"/>
          <w:sz w:val="24"/>
          <w:szCs w:val="24"/>
        </w:rPr>
        <w:sectPr w:rsidR="000623F1" w:rsidSect="000F39DA">
          <w:pgSz w:w="12240" w:h="15840"/>
          <w:pgMar w:top="1440" w:right="1440" w:bottom="1440" w:left="1440" w:header="720" w:footer="720" w:gutter="0"/>
          <w:lnNumType w:countBy="1" w:restart="continuous"/>
          <w:cols w:space="720"/>
          <w:docGrid w:linePitch="360"/>
        </w:sectPr>
      </w:pPr>
      <w:r>
        <w:rPr>
          <w:rFonts w:ascii="Times New Roman" w:hAnsi="Times New Roman" w:cs="Times New Roman"/>
          <w:sz w:val="24"/>
          <w:szCs w:val="24"/>
        </w:rPr>
        <w:t xml:space="preserve">Figure S4: Effect of renormalization to prevent prediction of sizes outside those observed on the predictions of the normal approach. Lines show the mean (solid lines) and 99% prediction intervals (dashed lines) of the beta approach (red), the normal approach (dark blue), and the renormalized normal approach (light blue). Renormalization decreases the upper bound of the </w:t>
      </w:r>
      <w:r w:rsidR="000E392B">
        <w:rPr>
          <w:rFonts w:ascii="Times New Roman" w:hAnsi="Times New Roman" w:cs="Times New Roman"/>
          <w:sz w:val="24"/>
          <w:szCs w:val="24"/>
        </w:rPr>
        <w:t>predicted size distribution to that of the beta approach only for the individuals with the largest starting sizes, and also decreases the mean</w:t>
      </w:r>
    </w:p>
    <w:p w14:paraId="2E25856A" w14:textId="2149C56E" w:rsidR="005072C0" w:rsidRDefault="005072C0" w:rsidP="000623F1">
      <w:pPr>
        <w:spacing w:line="480" w:lineRule="auto"/>
        <w:rPr>
          <w:rFonts w:ascii="Times New Roman" w:hAnsi="Times New Roman" w:cs="Times New Roman"/>
          <w:sz w:val="24"/>
          <w:szCs w:val="24"/>
        </w:rPr>
      </w:pPr>
    </w:p>
    <w:p w14:paraId="5D6A36EE" w14:textId="6D900D63" w:rsidR="005072C0" w:rsidRDefault="0094554E" w:rsidP="000623F1">
      <w:pPr>
        <w:spacing w:line="480" w:lineRule="auto"/>
        <w:rPr>
          <w:rFonts w:ascii="Times New Roman" w:hAnsi="Times New Roman" w:cs="Times New Roman"/>
          <w:sz w:val="24"/>
          <w:szCs w:val="24"/>
        </w:rPr>
      </w:pPr>
      <w:r w:rsidRPr="0094554E">
        <w:rPr>
          <w:rFonts w:ascii="Times New Roman" w:hAnsi="Times New Roman" w:cs="Times New Roman"/>
          <w:noProof/>
          <w:sz w:val="24"/>
          <w:szCs w:val="24"/>
        </w:rPr>
        <w:drawing>
          <wp:inline distT="0" distB="0" distL="0" distR="0" wp14:anchorId="28311FE6" wp14:editId="59872367">
            <wp:extent cx="5943600" cy="71123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112379"/>
                    </a:xfrm>
                    <a:prstGeom prst="rect">
                      <a:avLst/>
                    </a:prstGeom>
                    <a:noFill/>
                    <a:ln>
                      <a:noFill/>
                    </a:ln>
                  </pic:spPr>
                </pic:pic>
              </a:graphicData>
            </a:graphic>
          </wp:inline>
        </w:drawing>
      </w:r>
    </w:p>
    <w:p w14:paraId="4BC07908" w14:textId="7AF7394B" w:rsidR="000623F1" w:rsidRDefault="00A33E71" w:rsidP="000623F1">
      <w:pPr>
        <w:spacing w:line="480" w:lineRule="auto"/>
        <w:rPr>
          <w:rFonts w:ascii="Times New Roman" w:hAnsi="Times New Roman" w:cs="Times New Roman"/>
          <w:sz w:val="24"/>
          <w:szCs w:val="24"/>
        </w:rPr>
        <w:sectPr w:rsidR="000623F1" w:rsidSect="000F39DA">
          <w:pgSz w:w="12240" w:h="15840"/>
          <w:pgMar w:top="1440" w:right="1440" w:bottom="1440" w:left="1440" w:header="720" w:footer="720" w:gutter="0"/>
          <w:lnNumType w:countBy="1" w:restart="continuous"/>
          <w:cols w:space="720"/>
          <w:docGrid w:linePitch="360"/>
        </w:sectPr>
      </w:pPr>
      <w:r>
        <w:rPr>
          <w:rFonts w:ascii="Times New Roman" w:hAnsi="Times New Roman" w:cs="Times New Roman"/>
          <w:sz w:val="24"/>
          <w:szCs w:val="24"/>
        </w:rPr>
        <w:t>Figure S</w:t>
      </w:r>
      <w:r w:rsidR="00C4659C">
        <w:rPr>
          <w:rFonts w:ascii="Times New Roman" w:hAnsi="Times New Roman" w:cs="Times New Roman"/>
          <w:sz w:val="24"/>
          <w:szCs w:val="24"/>
        </w:rPr>
        <w:t>5</w:t>
      </w:r>
      <w:r>
        <w:rPr>
          <w:rFonts w:ascii="Times New Roman" w:hAnsi="Times New Roman" w:cs="Times New Roman"/>
          <w:sz w:val="24"/>
          <w:szCs w:val="24"/>
        </w:rPr>
        <w:t xml:space="preserve">: </w:t>
      </w:r>
      <w:r w:rsidR="005072C0">
        <w:rPr>
          <w:rFonts w:ascii="Times New Roman" w:hAnsi="Times New Roman" w:cs="Times New Roman"/>
          <w:sz w:val="24"/>
          <w:szCs w:val="24"/>
        </w:rPr>
        <w:t xml:space="preserve">Examples of datasets with AIC support for the normal approach but better fits of the beta approach to </w:t>
      </w:r>
      <w:r>
        <w:rPr>
          <w:rFonts w:ascii="Times New Roman" w:hAnsi="Times New Roman" w:cs="Times New Roman"/>
          <w:sz w:val="24"/>
          <w:szCs w:val="24"/>
        </w:rPr>
        <w:t xml:space="preserve">key </w:t>
      </w:r>
      <w:r w:rsidR="003C42EA">
        <w:rPr>
          <w:rFonts w:ascii="Times New Roman" w:hAnsi="Times New Roman" w:cs="Times New Roman"/>
          <w:sz w:val="24"/>
          <w:szCs w:val="24"/>
        </w:rPr>
        <w:t xml:space="preserve">segments </w:t>
      </w:r>
      <w:r>
        <w:rPr>
          <w:rFonts w:ascii="Times New Roman" w:hAnsi="Times New Roman" w:cs="Times New Roman"/>
          <w:sz w:val="24"/>
          <w:szCs w:val="24"/>
        </w:rPr>
        <w:t>of the growth distribution</w:t>
      </w:r>
      <w:r w:rsidR="005072C0">
        <w:rPr>
          <w:rFonts w:ascii="Times New Roman" w:hAnsi="Times New Roman" w:cs="Times New Roman"/>
          <w:sz w:val="24"/>
          <w:szCs w:val="24"/>
        </w:rPr>
        <w:t>.</w:t>
      </w:r>
      <w:r>
        <w:rPr>
          <w:rFonts w:ascii="Times New Roman" w:hAnsi="Times New Roman" w:cs="Times New Roman"/>
          <w:sz w:val="24"/>
          <w:szCs w:val="24"/>
        </w:rPr>
        <w:t xml:space="preserve"> Top </w:t>
      </w:r>
      <w:r w:rsidR="0094554E">
        <w:rPr>
          <w:rFonts w:ascii="Times New Roman" w:hAnsi="Times New Roman" w:cs="Times New Roman"/>
          <w:sz w:val="24"/>
          <w:szCs w:val="24"/>
        </w:rPr>
        <w:t>row</w:t>
      </w:r>
      <w:r>
        <w:rPr>
          <w:rFonts w:ascii="Times New Roman" w:hAnsi="Times New Roman" w:cs="Times New Roman"/>
          <w:sz w:val="24"/>
          <w:szCs w:val="24"/>
        </w:rPr>
        <w:t xml:space="preserve">: size at time t+1 against size </w:t>
      </w:r>
      <w:r>
        <w:rPr>
          <w:rFonts w:ascii="Times New Roman" w:hAnsi="Times New Roman" w:cs="Times New Roman"/>
          <w:sz w:val="24"/>
          <w:szCs w:val="24"/>
        </w:rPr>
        <w:lastRenderedPageBreak/>
        <w:t>at time t, with each data point colored by the difference in its log-likelihood under</w:t>
      </w:r>
      <w:r w:rsidR="005072C0">
        <w:rPr>
          <w:rFonts w:ascii="Times New Roman" w:hAnsi="Times New Roman" w:cs="Times New Roman"/>
          <w:sz w:val="24"/>
          <w:szCs w:val="24"/>
        </w:rPr>
        <w:t xml:space="preserve"> </w:t>
      </w:r>
      <w:r>
        <w:rPr>
          <w:rFonts w:ascii="Times New Roman" w:hAnsi="Times New Roman" w:cs="Times New Roman"/>
          <w:sz w:val="24"/>
          <w:szCs w:val="24"/>
        </w:rPr>
        <w:t xml:space="preserve">the normal approach vs. the beta approach (bluer values indicate greater log likelihood of the normal model and redder values indicate greater log likelihood of the beta model). </w:t>
      </w:r>
      <w:r w:rsidR="0094554E">
        <w:rPr>
          <w:rFonts w:ascii="Times New Roman" w:hAnsi="Times New Roman" w:cs="Times New Roman"/>
          <w:sz w:val="24"/>
          <w:szCs w:val="24"/>
        </w:rPr>
        <w:t>In all three cases, greater statistical support for the normal approach stems from its ability to slightly better predict the majority of data points close to the mean growth rate, whereas the beta approach is a better fit to the growth of small individuals and to some outliers, especially those that are highly skewed. Second row</w:t>
      </w:r>
      <w:r>
        <w:rPr>
          <w:rFonts w:ascii="Times New Roman" w:hAnsi="Times New Roman" w:cs="Times New Roman"/>
          <w:sz w:val="24"/>
          <w:szCs w:val="24"/>
        </w:rPr>
        <w:t>: Matrix of the difference in transition probabilities from a size</w:t>
      </w:r>
      <w:r w:rsidR="00573744">
        <w:rPr>
          <w:rFonts w:ascii="Times New Roman" w:hAnsi="Times New Roman" w:cs="Times New Roman"/>
          <w:sz w:val="24"/>
          <w:szCs w:val="24"/>
        </w:rPr>
        <w:t xml:space="preserve"> class</w:t>
      </w:r>
      <w:r>
        <w:rPr>
          <w:rFonts w:ascii="Times New Roman" w:hAnsi="Times New Roman" w:cs="Times New Roman"/>
          <w:sz w:val="24"/>
          <w:szCs w:val="24"/>
        </w:rPr>
        <w:t xml:space="preserve"> at time t to a given size</w:t>
      </w:r>
      <w:r w:rsidR="00573744">
        <w:rPr>
          <w:rFonts w:ascii="Times New Roman" w:hAnsi="Times New Roman" w:cs="Times New Roman"/>
          <w:sz w:val="24"/>
          <w:szCs w:val="24"/>
        </w:rPr>
        <w:t xml:space="preserve"> class</w:t>
      </w:r>
      <w:r>
        <w:rPr>
          <w:rFonts w:ascii="Times New Roman" w:hAnsi="Times New Roman" w:cs="Times New Roman"/>
          <w:sz w:val="24"/>
          <w:szCs w:val="24"/>
        </w:rPr>
        <w:t xml:space="preserve"> at time t+1 from the normal vs. beta approach (bluer values indicate greater probability under the normal model and redder values indicate greater probability under the beta model). </w:t>
      </w:r>
      <w:r w:rsidR="0094554E">
        <w:rPr>
          <w:rFonts w:ascii="Times New Roman" w:hAnsi="Times New Roman" w:cs="Times New Roman"/>
          <w:sz w:val="24"/>
          <w:szCs w:val="24"/>
        </w:rPr>
        <w:t xml:space="preserve">The greatest differences in predictions between the two approaches are for the growth of small individuals, for which the beta approach predicts greater variance, and the probability of extreme shrinkage of large individuals. Third row: </w:t>
      </w:r>
      <w:r>
        <w:rPr>
          <w:rFonts w:ascii="Times New Roman" w:hAnsi="Times New Roman" w:cs="Times New Roman"/>
          <w:sz w:val="24"/>
          <w:szCs w:val="24"/>
        </w:rPr>
        <w:t>sensitivity of lambda to each transition from a size</w:t>
      </w:r>
      <w:r w:rsidR="00573744">
        <w:rPr>
          <w:rFonts w:ascii="Times New Roman" w:hAnsi="Times New Roman" w:cs="Times New Roman"/>
          <w:sz w:val="24"/>
          <w:szCs w:val="24"/>
        </w:rPr>
        <w:t xml:space="preserve"> class</w:t>
      </w:r>
      <w:r>
        <w:rPr>
          <w:rFonts w:ascii="Times New Roman" w:hAnsi="Times New Roman" w:cs="Times New Roman"/>
          <w:sz w:val="24"/>
          <w:szCs w:val="24"/>
        </w:rPr>
        <w:t xml:space="preserve"> at time t to a given size</w:t>
      </w:r>
      <w:r w:rsidR="00573744">
        <w:rPr>
          <w:rFonts w:ascii="Times New Roman" w:hAnsi="Times New Roman" w:cs="Times New Roman"/>
          <w:sz w:val="24"/>
          <w:szCs w:val="24"/>
        </w:rPr>
        <w:t xml:space="preserve"> class</w:t>
      </w:r>
      <w:r>
        <w:rPr>
          <w:rFonts w:ascii="Times New Roman" w:hAnsi="Times New Roman" w:cs="Times New Roman"/>
          <w:sz w:val="24"/>
          <w:szCs w:val="24"/>
        </w:rPr>
        <w:t xml:space="preserve"> at time t+1. </w:t>
      </w:r>
      <w:r w:rsidR="00A90CFE">
        <w:rPr>
          <w:rFonts w:ascii="Times New Roman" w:hAnsi="Times New Roman" w:cs="Times New Roman"/>
          <w:sz w:val="24"/>
          <w:szCs w:val="24"/>
        </w:rPr>
        <w:t xml:space="preserve">The high sensitivities of lambda to the fates of smaller individuals suggests that the beta approach better explains the aspects of growth that most strongly impact lambda. </w:t>
      </w:r>
      <w:r>
        <w:rPr>
          <w:rFonts w:ascii="Times New Roman" w:hAnsi="Times New Roman" w:cs="Times New Roman"/>
          <w:sz w:val="24"/>
          <w:szCs w:val="24"/>
        </w:rPr>
        <w:t>Sensitivities were derived from the IPM with beta-distributed growth but were similar between approaches.</w:t>
      </w:r>
      <w:r w:rsidR="00573744">
        <w:rPr>
          <w:rFonts w:ascii="Times New Roman" w:hAnsi="Times New Roman" w:cs="Times New Roman"/>
          <w:sz w:val="24"/>
          <w:szCs w:val="24"/>
        </w:rPr>
        <w:t xml:space="preserve"> Note that </w:t>
      </w:r>
      <w:r w:rsidR="0094554E">
        <w:rPr>
          <w:rFonts w:ascii="Times New Roman" w:hAnsi="Times New Roman" w:cs="Times New Roman"/>
          <w:sz w:val="24"/>
          <w:szCs w:val="24"/>
        </w:rPr>
        <w:t xml:space="preserve">transition differences and </w:t>
      </w:r>
      <w:r w:rsidR="00573744">
        <w:rPr>
          <w:rFonts w:ascii="Times New Roman" w:hAnsi="Times New Roman" w:cs="Times New Roman"/>
          <w:sz w:val="24"/>
          <w:szCs w:val="24"/>
        </w:rPr>
        <w:t>sensitivities are only shown for non-zero transitions.</w:t>
      </w:r>
      <w:r>
        <w:rPr>
          <w:rFonts w:ascii="Times New Roman" w:hAnsi="Times New Roman" w:cs="Times New Roman"/>
          <w:sz w:val="24"/>
          <w:szCs w:val="24"/>
        </w:rPr>
        <w:t xml:space="preserve"> </w:t>
      </w:r>
      <w:r w:rsidR="0094554E">
        <w:rPr>
          <w:rFonts w:ascii="Times New Roman" w:hAnsi="Times New Roman" w:cs="Times New Roman"/>
          <w:sz w:val="24"/>
          <w:szCs w:val="24"/>
        </w:rPr>
        <w:t xml:space="preserve">Bottom row: For each observed growth transition, the difference in its predicted probability from the normal vs. beta approach (positive values indicate greater probability under the normal model and negative values indicate greater probability under the beta model) against the sensitivity of lambda to that transition. Points are colored by the difference in their log-likelihood under the normal approach vs. the beta approach (bluer values indicate greater log likelihood of the normal model and redder values indicate greater log likelihood of the beta model). </w:t>
      </w:r>
      <w:r w:rsidR="00A90CFE">
        <w:rPr>
          <w:rFonts w:ascii="Times New Roman" w:hAnsi="Times New Roman" w:cs="Times New Roman"/>
          <w:sz w:val="24"/>
          <w:szCs w:val="24"/>
        </w:rPr>
        <w:t xml:space="preserve">The strongest log-likelihood support for the normal approach </w:t>
      </w:r>
      <w:r w:rsidR="00A90CFE">
        <w:rPr>
          <w:rFonts w:ascii="Times New Roman" w:hAnsi="Times New Roman" w:cs="Times New Roman"/>
          <w:sz w:val="24"/>
          <w:szCs w:val="24"/>
        </w:rPr>
        <w:lastRenderedPageBreak/>
        <w:t xml:space="preserve">(darkest blue values) comes from data points for which the methods produce similar predictions, whereas the beta approach has strong log-likelihood support (darkest red values) for data points that are predicted to have very different probabilities under the two methods. </w:t>
      </w:r>
      <w:r>
        <w:rPr>
          <w:rFonts w:ascii="Times New Roman" w:hAnsi="Times New Roman" w:cs="Times New Roman"/>
          <w:sz w:val="24"/>
          <w:szCs w:val="24"/>
        </w:rPr>
        <w:t xml:space="preserve">Each column gives the results for a dataset in which AIC supported the normal approach over the beta approach (left to right: </w:t>
      </w:r>
      <w:proofErr w:type="spellStart"/>
      <w:r>
        <w:rPr>
          <w:rFonts w:ascii="Times New Roman" w:hAnsi="Times New Roman" w:cs="Times New Roman"/>
          <w:i/>
          <w:sz w:val="24"/>
          <w:szCs w:val="24"/>
        </w:rPr>
        <w:t>Vulpicida</w:t>
      </w:r>
      <w:proofErr w:type="spellEnd"/>
      <w:r>
        <w:rPr>
          <w:rFonts w:ascii="Times New Roman" w:hAnsi="Times New Roman" w:cs="Times New Roman"/>
          <w:sz w:val="24"/>
          <w:szCs w:val="24"/>
        </w:rPr>
        <w:t xml:space="preserve"> lichens for the 2005-2006 transition, red gorgonian coral at the </w:t>
      </w:r>
      <w:proofErr w:type="spellStart"/>
      <w:r>
        <w:rPr>
          <w:rFonts w:ascii="Times New Roman" w:hAnsi="Times New Roman" w:cs="Times New Roman"/>
          <w:sz w:val="24"/>
          <w:szCs w:val="24"/>
        </w:rPr>
        <w:t>Medas</w:t>
      </w:r>
      <w:proofErr w:type="spellEnd"/>
      <w:r>
        <w:rPr>
          <w:rFonts w:ascii="Times New Roman" w:hAnsi="Times New Roman" w:cs="Times New Roman"/>
          <w:sz w:val="24"/>
          <w:szCs w:val="24"/>
        </w:rPr>
        <w:t xml:space="preserve"> site, and </w:t>
      </w:r>
      <w:r w:rsidR="000623F1">
        <w:rPr>
          <w:rFonts w:ascii="Times New Roman" w:hAnsi="Times New Roman" w:cs="Times New Roman"/>
          <w:sz w:val="24"/>
          <w:szCs w:val="24"/>
        </w:rPr>
        <w:t>bistort at the P1 site).</w:t>
      </w:r>
    </w:p>
    <w:p w14:paraId="73111F79" w14:textId="59237DFD" w:rsidR="006854AF" w:rsidRDefault="006854AF" w:rsidP="000623F1">
      <w:pPr>
        <w:spacing w:line="480" w:lineRule="auto"/>
        <w:rPr>
          <w:rFonts w:ascii="Times New Roman" w:hAnsi="Times New Roman" w:cs="Times New Roman"/>
          <w:sz w:val="24"/>
          <w:szCs w:val="24"/>
        </w:rPr>
      </w:pPr>
    </w:p>
    <w:p w14:paraId="09EE778B" w14:textId="74C0DC40" w:rsidR="00BC7F51" w:rsidRDefault="003F5257" w:rsidP="000623F1">
      <w:pPr>
        <w:spacing w:line="480" w:lineRule="auto"/>
        <w:rPr>
          <w:rFonts w:ascii="Times New Roman" w:hAnsi="Times New Roman" w:cs="Times New Roman"/>
          <w:sz w:val="24"/>
          <w:szCs w:val="24"/>
        </w:rPr>
      </w:pPr>
      <w:r w:rsidRPr="005A0E88">
        <w:rPr>
          <w:rFonts w:ascii="Times New Roman" w:hAnsi="Times New Roman" w:cs="Times New Roman"/>
          <w:b/>
          <w:noProof/>
          <w:sz w:val="24"/>
          <w:szCs w:val="24"/>
        </w:rPr>
        <w:drawing>
          <wp:inline distT="0" distB="0" distL="0" distR="0" wp14:anchorId="25CE69AE" wp14:editId="3881F569">
            <wp:extent cx="5943600" cy="3468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68370"/>
                    </a:xfrm>
                    <a:prstGeom prst="rect">
                      <a:avLst/>
                    </a:prstGeom>
                    <a:noFill/>
                    <a:ln>
                      <a:noFill/>
                    </a:ln>
                  </pic:spPr>
                </pic:pic>
              </a:graphicData>
            </a:graphic>
          </wp:inline>
        </w:drawing>
      </w:r>
    </w:p>
    <w:p w14:paraId="6A46766A" w14:textId="77777777" w:rsidR="00BC7F51" w:rsidRDefault="00BC7F51" w:rsidP="000623F1">
      <w:pPr>
        <w:spacing w:line="480" w:lineRule="auto"/>
        <w:rPr>
          <w:rFonts w:ascii="Times New Roman" w:hAnsi="Times New Roman" w:cs="Times New Roman"/>
          <w:sz w:val="24"/>
          <w:szCs w:val="24"/>
        </w:rPr>
      </w:pPr>
    </w:p>
    <w:p w14:paraId="25D46463" w14:textId="1997B332" w:rsidR="000623F1" w:rsidRDefault="003F5257" w:rsidP="000623F1">
      <w:pPr>
        <w:spacing w:line="480" w:lineRule="auto"/>
        <w:rPr>
          <w:rFonts w:ascii="Times New Roman" w:hAnsi="Times New Roman" w:cs="Times New Roman"/>
          <w:sz w:val="24"/>
          <w:szCs w:val="24"/>
        </w:rPr>
        <w:sectPr w:rsidR="000623F1" w:rsidSect="000F39DA">
          <w:pgSz w:w="12240" w:h="15840"/>
          <w:pgMar w:top="1440" w:right="1440" w:bottom="1440" w:left="1440" w:header="720" w:footer="720" w:gutter="0"/>
          <w:lnNumType w:countBy="1" w:restart="continuous"/>
          <w:cols w:space="720"/>
          <w:docGrid w:linePitch="360"/>
        </w:sectPr>
      </w:pPr>
      <w:r>
        <w:rPr>
          <w:rFonts w:ascii="Times New Roman" w:hAnsi="Times New Roman" w:cs="Times New Roman"/>
          <w:sz w:val="24"/>
          <w:szCs w:val="24"/>
        </w:rPr>
        <w:t>Figure S</w:t>
      </w:r>
      <w:r w:rsidR="00C4659C">
        <w:rPr>
          <w:rFonts w:ascii="Times New Roman" w:hAnsi="Times New Roman" w:cs="Times New Roman"/>
          <w:sz w:val="24"/>
          <w:szCs w:val="24"/>
        </w:rPr>
        <w:t>6</w:t>
      </w:r>
      <w:r>
        <w:rPr>
          <w:rFonts w:ascii="Times New Roman" w:hAnsi="Times New Roman" w:cs="Times New Roman"/>
          <w:sz w:val="24"/>
          <w:szCs w:val="24"/>
        </w:rPr>
        <w:t xml:space="preserve">: Comparison of IPMs using the beta vs. normal approach to a </w:t>
      </w:r>
      <w:r w:rsidR="00B028C5">
        <w:rPr>
          <w:rFonts w:ascii="Times New Roman" w:hAnsi="Times New Roman" w:cs="Times New Roman"/>
          <w:sz w:val="24"/>
          <w:szCs w:val="24"/>
        </w:rPr>
        <w:t>PPM</w:t>
      </w:r>
      <w:r>
        <w:rPr>
          <w:rFonts w:ascii="Times New Roman" w:hAnsi="Times New Roman" w:cs="Times New Roman"/>
          <w:sz w:val="24"/>
          <w:szCs w:val="24"/>
        </w:rPr>
        <w:t xml:space="preserve">. Black points: values from a </w:t>
      </w:r>
      <w:r w:rsidR="00B028C5">
        <w:rPr>
          <w:rFonts w:ascii="Times New Roman" w:hAnsi="Times New Roman" w:cs="Times New Roman"/>
          <w:sz w:val="24"/>
          <w:szCs w:val="24"/>
        </w:rPr>
        <w:t>PPM</w:t>
      </w:r>
      <w:r>
        <w:rPr>
          <w:rFonts w:ascii="Times New Roman" w:hAnsi="Times New Roman" w:cs="Times New Roman"/>
          <w:sz w:val="24"/>
          <w:szCs w:val="24"/>
        </w:rPr>
        <w:t xml:space="preserve"> with 20 size bins. Red points: values from an IPM with beta-distributed growth transitions discretized into 20 size bins using the midpoint method. Blue points: values from an IPM with normally-distributed growth transitions discretized into 20 size bins using the midpoint method. Values are the reproductive value for each bin (top panel) and the proportional stable stage distribution for each bin (bottom panel). Either the beta-distributed IPM is a closer match or both IPMs do equally well approximating the </w:t>
      </w:r>
      <w:r w:rsidR="00B028C5">
        <w:rPr>
          <w:rFonts w:ascii="Times New Roman" w:hAnsi="Times New Roman" w:cs="Times New Roman"/>
          <w:sz w:val="24"/>
          <w:szCs w:val="24"/>
        </w:rPr>
        <w:t>PPM</w:t>
      </w:r>
      <w:r w:rsidR="000623F1">
        <w:rPr>
          <w:rFonts w:ascii="Times New Roman" w:hAnsi="Times New Roman" w:cs="Times New Roman"/>
          <w:sz w:val="24"/>
          <w:szCs w:val="24"/>
        </w:rPr>
        <w:t>.</w:t>
      </w:r>
    </w:p>
    <w:p w14:paraId="4FF2D45A" w14:textId="299D779E" w:rsidR="00B50B5D" w:rsidRDefault="00B50B5D" w:rsidP="000623F1">
      <w:pPr>
        <w:spacing w:line="480" w:lineRule="auto"/>
        <w:rPr>
          <w:rFonts w:ascii="Times New Roman" w:hAnsi="Times New Roman" w:cs="Times New Roman"/>
          <w:sz w:val="24"/>
          <w:szCs w:val="24"/>
        </w:rPr>
      </w:pPr>
    </w:p>
    <w:p w14:paraId="19818986" w14:textId="77777777" w:rsidR="000623F1" w:rsidRDefault="00C4659C" w:rsidP="000623F1">
      <w:pPr>
        <w:spacing w:line="480" w:lineRule="auto"/>
        <w:rPr>
          <w:rFonts w:ascii="Times New Roman" w:hAnsi="Times New Roman" w:cs="Times New Roman"/>
          <w:sz w:val="24"/>
          <w:szCs w:val="24"/>
        </w:rPr>
        <w:sectPr w:rsidR="000623F1" w:rsidSect="000F39DA">
          <w:pgSz w:w="12240" w:h="15840"/>
          <w:pgMar w:top="1440" w:right="1440" w:bottom="1440" w:left="1440" w:header="720" w:footer="720" w:gutter="0"/>
          <w:lnNumType w:countBy="1" w:restart="continuous"/>
          <w:cols w:space="720"/>
          <w:docGrid w:linePitch="360"/>
        </w:sectPr>
      </w:pPr>
      <w:r w:rsidRPr="00250D45">
        <w:rPr>
          <w:rFonts w:ascii="Times New Roman" w:hAnsi="Times New Roman" w:cs="Times New Roman"/>
          <w:noProof/>
          <w:sz w:val="24"/>
          <w:szCs w:val="24"/>
        </w:rPr>
        <w:drawing>
          <wp:inline distT="0" distB="0" distL="0" distR="0" wp14:anchorId="05287347" wp14:editId="423B0C88">
            <wp:extent cx="5943600" cy="15976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97660"/>
                    </a:xfrm>
                    <a:prstGeom prst="rect">
                      <a:avLst/>
                    </a:prstGeom>
                    <a:noFill/>
                    <a:ln>
                      <a:noFill/>
                    </a:ln>
                  </pic:spPr>
                </pic:pic>
              </a:graphicData>
            </a:graphic>
          </wp:inline>
        </w:drawing>
      </w:r>
      <w:r w:rsidRPr="00C4659C">
        <w:rPr>
          <w:rFonts w:ascii="Times New Roman" w:hAnsi="Times New Roman" w:cs="Times New Roman"/>
          <w:sz w:val="24"/>
          <w:szCs w:val="24"/>
        </w:rPr>
        <w:t xml:space="preserve"> </w:t>
      </w:r>
      <w:r>
        <w:rPr>
          <w:rFonts w:ascii="Times New Roman" w:hAnsi="Times New Roman" w:cs="Times New Roman"/>
          <w:sz w:val="24"/>
          <w:szCs w:val="24"/>
        </w:rPr>
        <w:t xml:space="preserve">Figure S7: Comparison of the predicted transition probabilities from a size class at time t to a given size class at time t+1 from the re-normalized normal approach vs. beta approach. Data and models are the same as in Figure S4, but the predictions from the normal approach have been re-normalized to avoid eviction outside the modeled size range of each IPM. Re-normalization slightly exaggerates the patterns in Figure S4, by increasing the differences between the normal and beta predictions. </w:t>
      </w:r>
    </w:p>
    <w:p w14:paraId="6671AF17" w14:textId="19858E0F" w:rsidR="00E32F8A" w:rsidRDefault="00E32F8A" w:rsidP="000623F1">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SUPPORTING TABLES</w:t>
      </w:r>
    </w:p>
    <w:p w14:paraId="47245A96" w14:textId="33A787A7" w:rsidR="007C1996" w:rsidRPr="007C1996" w:rsidRDefault="007C1996" w:rsidP="000623F1">
      <w:pPr>
        <w:spacing w:line="480" w:lineRule="auto"/>
        <w:rPr>
          <w:rFonts w:ascii="Times New Roman" w:hAnsi="Times New Roman" w:cs="Times New Roman"/>
          <w:sz w:val="24"/>
          <w:szCs w:val="24"/>
        </w:rPr>
      </w:pPr>
      <w:r>
        <w:rPr>
          <w:rFonts w:ascii="Times New Roman" w:hAnsi="Times New Roman" w:cs="Times New Roman"/>
          <w:sz w:val="24"/>
          <w:szCs w:val="24"/>
        </w:rPr>
        <w:t>Table S1: Parameter values used to simulate size data for each of 4 scenarios. Starting size was varied from 1</w:t>
      </w:r>
      <w:r w:rsidR="00A276BA">
        <w:rPr>
          <w:rFonts w:ascii="Times New Roman" w:hAnsi="Times New Roman" w:cs="Times New Roman"/>
          <w:sz w:val="24"/>
          <w:szCs w:val="24"/>
        </w:rPr>
        <w:t xml:space="preserve"> to</w:t>
      </w:r>
      <w:r>
        <w:rPr>
          <w:rFonts w:ascii="Times New Roman" w:hAnsi="Times New Roman" w:cs="Times New Roman"/>
          <w:sz w:val="24"/>
          <w:szCs w:val="24"/>
        </w:rPr>
        <w:t>100. The mean and variance</w:t>
      </w:r>
      <w:r w:rsidR="00FA7EE0">
        <w:rPr>
          <w:rFonts w:ascii="Times New Roman" w:hAnsi="Times New Roman" w:cs="Times New Roman"/>
          <w:sz w:val="24"/>
          <w:szCs w:val="24"/>
        </w:rPr>
        <w:t xml:space="preserve"> were either constant or functions of starting size. Size at the next time step was simulated on a (0,1) interval using the </w:t>
      </w:r>
      <w:proofErr w:type="spellStart"/>
      <w:r w:rsidR="00FA7EE0">
        <w:rPr>
          <w:rFonts w:ascii="Times New Roman" w:hAnsi="Times New Roman" w:cs="Times New Roman"/>
          <w:sz w:val="24"/>
          <w:szCs w:val="24"/>
        </w:rPr>
        <w:t>rbeta</w:t>
      </w:r>
      <w:proofErr w:type="spellEnd"/>
      <w:r w:rsidR="00FA7EE0">
        <w:rPr>
          <w:rFonts w:ascii="Times New Roman" w:hAnsi="Times New Roman" w:cs="Times New Roman"/>
          <w:sz w:val="24"/>
          <w:szCs w:val="24"/>
        </w:rPr>
        <w:t xml:space="preserve"> function in R and alpha and beta shape parameters calculated from the mean and variance </w:t>
      </w:r>
      <w:r w:rsidR="00C87BC7">
        <w:rPr>
          <w:rFonts w:ascii="Times New Roman" w:hAnsi="Times New Roman" w:cs="Times New Roman"/>
          <w:sz w:val="24"/>
          <w:szCs w:val="24"/>
        </w:rPr>
        <w:t>on the (0,1) scale (below)</w:t>
      </w:r>
      <w:r w:rsidR="00FA7EE0">
        <w:rPr>
          <w:rFonts w:ascii="Times New Roman" w:hAnsi="Times New Roman" w:cs="Times New Roman"/>
          <w:sz w:val="24"/>
          <w:szCs w:val="24"/>
        </w:rPr>
        <w:t xml:space="preserve">. </w:t>
      </w:r>
      <w:r w:rsidR="00C87BC7">
        <w:rPr>
          <w:rFonts w:ascii="Times New Roman" w:hAnsi="Times New Roman" w:cs="Times New Roman"/>
          <w:sz w:val="24"/>
          <w:szCs w:val="24"/>
        </w:rPr>
        <w:t xml:space="preserve">Note that increasing variance in size is achieved by increasing the range between minimum and maximum values rather than increasing the variance on the (0,1) scale. </w:t>
      </w:r>
      <w:r w:rsidR="00EA1647">
        <w:rPr>
          <w:rFonts w:ascii="Times New Roman" w:hAnsi="Times New Roman" w:cs="Times New Roman"/>
          <w:sz w:val="24"/>
          <w:szCs w:val="24"/>
        </w:rPr>
        <w:t>Beta variates</w:t>
      </w:r>
      <w:r w:rsidR="00FA7EE0">
        <w:rPr>
          <w:rFonts w:ascii="Times New Roman" w:hAnsi="Times New Roman" w:cs="Times New Roman"/>
          <w:sz w:val="24"/>
          <w:szCs w:val="24"/>
        </w:rPr>
        <w:t xml:space="preserve"> were transformed from the (0,1) interval to the </w:t>
      </w:r>
      <w:r w:rsidR="00EA1647">
        <w:rPr>
          <w:rFonts w:ascii="Times New Roman" w:hAnsi="Times New Roman" w:cs="Times New Roman"/>
          <w:sz w:val="24"/>
          <w:szCs w:val="24"/>
        </w:rPr>
        <w:t xml:space="preserve">size measurement </w:t>
      </w:r>
      <w:r w:rsidR="00FA7EE0">
        <w:rPr>
          <w:rFonts w:ascii="Times New Roman" w:hAnsi="Times New Roman" w:cs="Times New Roman"/>
          <w:sz w:val="24"/>
          <w:szCs w:val="24"/>
        </w:rPr>
        <w:t xml:space="preserve">scale using eq. 2 and minimum and maximum values that were functions of starting size. </w:t>
      </w:r>
    </w:p>
    <w:p w14:paraId="34E1928A" w14:textId="4CBF9172" w:rsidR="007C1996" w:rsidRDefault="007C1996">
      <w:pPr>
        <w:rPr>
          <w:rFonts w:ascii="Times New Roman" w:hAnsi="Times New Roman" w:cs="Times New Roman"/>
          <w:sz w:val="24"/>
          <w:szCs w:val="24"/>
        </w:rPr>
      </w:pPr>
    </w:p>
    <w:tbl>
      <w:tblPr>
        <w:tblStyle w:val="TableGrid"/>
        <w:tblW w:w="9085" w:type="dxa"/>
        <w:tblLook w:val="04A0" w:firstRow="1" w:lastRow="0" w:firstColumn="1" w:lastColumn="0" w:noHBand="0" w:noVBand="1"/>
      </w:tblPr>
      <w:tblGrid>
        <w:gridCol w:w="2245"/>
        <w:gridCol w:w="1890"/>
        <w:gridCol w:w="1530"/>
        <w:gridCol w:w="1710"/>
        <w:gridCol w:w="1710"/>
      </w:tblGrid>
      <w:tr w:rsidR="007C1996" w14:paraId="2C7BED92" w14:textId="518BCADF" w:rsidTr="00A07341">
        <w:trPr>
          <w:trHeight w:val="255"/>
        </w:trPr>
        <w:tc>
          <w:tcPr>
            <w:tcW w:w="2245" w:type="dxa"/>
          </w:tcPr>
          <w:p w14:paraId="750DB255" w14:textId="21D66947" w:rsidR="007C1996" w:rsidRDefault="007C1996">
            <w:pPr>
              <w:rPr>
                <w:rFonts w:ascii="Times New Roman" w:hAnsi="Times New Roman" w:cs="Times New Roman"/>
                <w:sz w:val="24"/>
                <w:szCs w:val="24"/>
              </w:rPr>
            </w:pPr>
            <w:r>
              <w:rPr>
                <w:rFonts w:ascii="Times New Roman" w:hAnsi="Times New Roman" w:cs="Times New Roman"/>
                <w:sz w:val="24"/>
                <w:szCs w:val="24"/>
              </w:rPr>
              <w:t>Scenario</w:t>
            </w:r>
          </w:p>
        </w:tc>
        <w:tc>
          <w:tcPr>
            <w:tcW w:w="1890" w:type="dxa"/>
          </w:tcPr>
          <w:p w14:paraId="297F5925" w14:textId="6DF6723C" w:rsidR="007C1996" w:rsidRDefault="007C1996">
            <w:pPr>
              <w:rPr>
                <w:rFonts w:ascii="Times New Roman" w:hAnsi="Times New Roman" w:cs="Times New Roman"/>
                <w:sz w:val="24"/>
                <w:szCs w:val="24"/>
              </w:rPr>
            </w:pPr>
            <w:r>
              <w:rPr>
                <w:rFonts w:ascii="Times New Roman" w:hAnsi="Times New Roman" w:cs="Times New Roman"/>
                <w:sz w:val="24"/>
                <w:szCs w:val="24"/>
              </w:rPr>
              <w:t>Mean</w:t>
            </w:r>
          </w:p>
        </w:tc>
        <w:tc>
          <w:tcPr>
            <w:tcW w:w="1530" w:type="dxa"/>
          </w:tcPr>
          <w:p w14:paraId="158BBA6F" w14:textId="1242F46C" w:rsidR="007C1996" w:rsidRDefault="007C1996">
            <w:pPr>
              <w:rPr>
                <w:rFonts w:ascii="Times New Roman" w:hAnsi="Times New Roman" w:cs="Times New Roman"/>
                <w:sz w:val="24"/>
                <w:szCs w:val="24"/>
              </w:rPr>
            </w:pPr>
            <w:r>
              <w:rPr>
                <w:rFonts w:ascii="Times New Roman" w:hAnsi="Times New Roman" w:cs="Times New Roman"/>
                <w:sz w:val="24"/>
                <w:szCs w:val="24"/>
              </w:rPr>
              <w:t>Variance</w:t>
            </w:r>
          </w:p>
        </w:tc>
        <w:tc>
          <w:tcPr>
            <w:tcW w:w="1710" w:type="dxa"/>
          </w:tcPr>
          <w:p w14:paraId="32CD26CF" w14:textId="6C67EB85" w:rsidR="007C1996" w:rsidRDefault="007C1996">
            <w:pPr>
              <w:rPr>
                <w:rFonts w:ascii="Times New Roman" w:hAnsi="Times New Roman" w:cs="Times New Roman"/>
                <w:sz w:val="24"/>
                <w:szCs w:val="24"/>
              </w:rPr>
            </w:pPr>
            <w:r>
              <w:rPr>
                <w:rFonts w:ascii="Times New Roman" w:hAnsi="Times New Roman" w:cs="Times New Roman"/>
                <w:sz w:val="24"/>
                <w:szCs w:val="24"/>
              </w:rPr>
              <w:t>Min</w:t>
            </w:r>
          </w:p>
        </w:tc>
        <w:tc>
          <w:tcPr>
            <w:tcW w:w="1710" w:type="dxa"/>
          </w:tcPr>
          <w:p w14:paraId="7AF2ACEB" w14:textId="2EE236F7" w:rsidR="007C1996" w:rsidRDefault="007C1996">
            <w:pPr>
              <w:rPr>
                <w:rFonts w:ascii="Times New Roman" w:hAnsi="Times New Roman" w:cs="Times New Roman"/>
                <w:sz w:val="24"/>
                <w:szCs w:val="24"/>
              </w:rPr>
            </w:pPr>
            <w:r>
              <w:rPr>
                <w:rFonts w:ascii="Times New Roman" w:hAnsi="Times New Roman" w:cs="Times New Roman"/>
                <w:sz w:val="24"/>
                <w:szCs w:val="24"/>
              </w:rPr>
              <w:t>Max</w:t>
            </w:r>
          </w:p>
        </w:tc>
      </w:tr>
      <w:tr w:rsidR="007C1996" w14:paraId="6240CF79" w14:textId="4AE0A064" w:rsidTr="00A07341">
        <w:trPr>
          <w:trHeight w:val="524"/>
        </w:trPr>
        <w:tc>
          <w:tcPr>
            <w:tcW w:w="2245" w:type="dxa"/>
          </w:tcPr>
          <w:p w14:paraId="2955CB30" w14:textId="50DD9B4D" w:rsidR="007C1996" w:rsidRDefault="007C1996">
            <w:pPr>
              <w:rPr>
                <w:rFonts w:ascii="Times New Roman" w:hAnsi="Times New Roman" w:cs="Times New Roman"/>
                <w:sz w:val="24"/>
                <w:szCs w:val="24"/>
              </w:rPr>
            </w:pPr>
            <w:r>
              <w:rPr>
                <w:rFonts w:ascii="Times New Roman" w:hAnsi="Times New Roman" w:cs="Times New Roman"/>
                <w:sz w:val="24"/>
                <w:szCs w:val="24"/>
              </w:rPr>
              <w:t>Constant symmetric variance</w:t>
            </w:r>
          </w:p>
        </w:tc>
        <w:tc>
          <w:tcPr>
            <w:tcW w:w="1890" w:type="dxa"/>
          </w:tcPr>
          <w:p w14:paraId="5B60BF69" w14:textId="5AAE443E" w:rsidR="007C1996" w:rsidRDefault="007C1996">
            <w:pPr>
              <w:rPr>
                <w:rFonts w:ascii="Times New Roman" w:hAnsi="Times New Roman" w:cs="Times New Roman"/>
                <w:sz w:val="24"/>
                <w:szCs w:val="24"/>
              </w:rPr>
            </w:pPr>
            <w:r>
              <w:rPr>
                <w:rFonts w:ascii="Times New Roman" w:hAnsi="Times New Roman" w:cs="Times New Roman"/>
                <w:sz w:val="24"/>
                <w:szCs w:val="24"/>
              </w:rPr>
              <w:t>0.5</w:t>
            </w:r>
          </w:p>
        </w:tc>
        <w:tc>
          <w:tcPr>
            <w:tcW w:w="1530" w:type="dxa"/>
          </w:tcPr>
          <w:p w14:paraId="299C0A38" w14:textId="3E0F6722" w:rsidR="007C1996" w:rsidRDefault="007C1996">
            <w:pPr>
              <w:rPr>
                <w:rFonts w:ascii="Times New Roman" w:hAnsi="Times New Roman" w:cs="Times New Roman"/>
                <w:sz w:val="24"/>
                <w:szCs w:val="24"/>
              </w:rPr>
            </w:pPr>
            <w:r>
              <w:rPr>
                <w:rFonts w:ascii="Times New Roman" w:hAnsi="Times New Roman" w:cs="Times New Roman"/>
                <w:sz w:val="24"/>
                <w:szCs w:val="24"/>
              </w:rPr>
              <w:t>0.03</w:t>
            </w:r>
          </w:p>
        </w:tc>
        <w:tc>
          <w:tcPr>
            <w:tcW w:w="1710" w:type="dxa"/>
          </w:tcPr>
          <w:p w14:paraId="2B033ACE" w14:textId="0268E16B" w:rsidR="007C1996" w:rsidRDefault="007C1996">
            <w:pPr>
              <w:rPr>
                <w:rFonts w:ascii="Times New Roman" w:hAnsi="Times New Roman" w:cs="Times New Roman"/>
                <w:sz w:val="24"/>
                <w:szCs w:val="24"/>
              </w:rPr>
            </w:pPr>
            <w:r>
              <w:rPr>
                <w:rFonts w:ascii="Times New Roman" w:hAnsi="Times New Roman" w:cs="Times New Roman"/>
                <w:sz w:val="24"/>
                <w:szCs w:val="24"/>
              </w:rPr>
              <w:t>Size - 20</w:t>
            </w:r>
          </w:p>
        </w:tc>
        <w:tc>
          <w:tcPr>
            <w:tcW w:w="1710" w:type="dxa"/>
          </w:tcPr>
          <w:p w14:paraId="26760142" w14:textId="2328C0A6" w:rsidR="007C1996" w:rsidRDefault="007C1996">
            <w:pPr>
              <w:rPr>
                <w:rFonts w:ascii="Times New Roman" w:hAnsi="Times New Roman" w:cs="Times New Roman"/>
                <w:sz w:val="24"/>
                <w:szCs w:val="24"/>
              </w:rPr>
            </w:pPr>
            <w:r>
              <w:rPr>
                <w:rFonts w:ascii="Times New Roman" w:hAnsi="Times New Roman" w:cs="Times New Roman"/>
                <w:sz w:val="24"/>
                <w:szCs w:val="24"/>
              </w:rPr>
              <w:t>Size + 40</w:t>
            </w:r>
          </w:p>
        </w:tc>
      </w:tr>
      <w:tr w:rsidR="007C1996" w14:paraId="30C8629A" w14:textId="181B0E28" w:rsidTr="00A07341">
        <w:trPr>
          <w:trHeight w:val="510"/>
        </w:trPr>
        <w:tc>
          <w:tcPr>
            <w:tcW w:w="2245" w:type="dxa"/>
          </w:tcPr>
          <w:p w14:paraId="6B643995" w14:textId="77259821" w:rsidR="007C1996" w:rsidRDefault="007C1996">
            <w:pPr>
              <w:rPr>
                <w:rFonts w:ascii="Times New Roman" w:hAnsi="Times New Roman" w:cs="Times New Roman"/>
                <w:sz w:val="24"/>
                <w:szCs w:val="24"/>
              </w:rPr>
            </w:pPr>
            <w:r>
              <w:rPr>
                <w:rFonts w:ascii="Times New Roman" w:hAnsi="Times New Roman" w:cs="Times New Roman"/>
                <w:sz w:val="24"/>
                <w:szCs w:val="24"/>
              </w:rPr>
              <w:t>Increasing symmetric variance</w:t>
            </w:r>
          </w:p>
        </w:tc>
        <w:tc>
          <w:tcPr>
            <w:tcW w:w="1890" w:type="dxa"/>
          </w:tcPr>
          <w:p w14:paraId="7F020728" w14:textId="67F55A1F" w:rsidR="007C1996" w:rsidRDefault="007C1996">
            <w:pPr>
              <w:rPr>
                <w:rFonts w:ascii="Times New Roman" w:hAnsi="Times New Roman" w:cs="Times New Roman"/>
                <w:sz w:val="24"/>
                <w:szCs w:val="24"/>
              </w:rPr>
            </w:pPr>
            <w:r>
              <w:rPr>
                <w:rFonts w:ascii="Times New Roman" w:hAnsi="Times New Roman" w:cs="Times New Roman"/>
                <w:sz w:val="24"/>
                <w:szCs w:val="24"/>
              </w:rPr>
              <w:t>0.5</w:t>
            </w:r>
          </w:p>
        </w:tc>
        <w:tc>
          <w:tcPr>
            <w:tcW w:w="1530" w:type="dxa"/>
          </w:tcPr>
          <w:p w14:paraId="0BD97774" w14:textId="2AF91F28" w:rsidR="007C1996" w:rsidRDefault="00A07341">
            <w:pPr>
              <w:rPr>
                <w:rFonts w:ascii="Times New Roman" w:hAnsi="Times New Roman" w:cs="Times New Roman"/>
                <w:sz w:val="24"/>
                <w:szCs w:val="24"/>
              </w:rPr>
            </w:pPr>
            <w:r>
              <w:rPr>
                <w:rFonts w:ascii="Times New Roman" w:hAnsi="Times New Roman" w:cs="Times New Roman"/>
                <w:sz w:val="24"/>
                <w:szCs w:val="24"/>
              </w:rPr>
              <w:t>0.03</w:t>
            </w:r>
          </w:p>
        </w:tc>
        <w:tc>
          <w:tcPr>
            <w:tcW w:w="1710" w:type="dxa"/>
          </w:tcPr>
          <w:p w14:paraId="6082F0C2" w14:textId="75D28208" w:rsidR="007C1996" w:rsidRDefault="007C1996">
            <w:pPr>
              <w:rPr>
                <w:rFonts w:ascii="Times New Roman" w:hAnsi="Times New Roman" w:cs="Times New Roman"/>
                <w:sz w:val="24"/>
                <w:szCs w:val="24"/>
              </w:rPr>
            </w:pPr>
            <w:r>
              <w:rPr>
                <w:rFonts w:ascii="Times New Roman" w:hAnsi="Times New Roman" w:cs="Times New Roman"/>
                <w:sz w:val="24"/>
                <w:szCs w:val="24"/>
              </w:rPr>
              <w:t>-5 + Size*0.8</w:t>
            </w:r>
          </w:p>
        </w:tc>
        <w:tc>
          <w:tcPr>
            <w:tcW w:w="1710" w:type="dxa"/>
          </w:tcPr>
          <w:p w14:paraId="60FACB74" w14:textId="5F9F81CF" w:rsidR="007C1996" w:rsidRDefault="007C1996">
            <w:pPr>
              <w:rPr>
                <w:rFonts w:ascii="Times New Roman" w:hAnsi="Times New Roman" w:cs="Times New Roman"/>
                <w:sz w:val="24"/>
                <w:szCs w:val="24"/>
              </w:rPr>
            </w:pPr>
            <w:r>
              <w:rPr>
                <w:rFonts w:ascii="Times New Roman" w:hAnsi="Times New Roman" w:cs="Times New Roman"/>
                <w:sz w:val="24"/>
                <w:szCs w:val="24"/>
              </w:rPr>
              <w:t>5 + Size*1.2</w:t>
            </w:r>
          </w:p>
        </w:tc>
      </w:tr>
      <w:tr w:rsidR="007C1996" w14:paraId="75D79A3F" w14:textId="105C0074" w:rsidTr="00A07341">
        <w:trPr>
          <w:trHeight w:val="510"/>
        </w:trPr>
        <w:tc>
          <w:tcPr>
            <w:tcW w:w="2245" w:type="dxa"/>
          </w:tcPr>
          <w:p w14:paraId="127B7009" w14:textId="56DD24CF" w:rsidR="007C1996" w:rsidRDefault="007C1996" w:rsidP="007C1996">
            <w:pPr>
              <w:rPr>
                <w:rFonts w:ascii="Times New Roman" w:hAnsi="Times New Roman" w:cs="Times New Roman"/>
                <w:sz w:val="24"/>
                <w:szCs w:val="24"/>
              </w:rPr>
            </w:pPr>
            <w:r>
              <w:rPr>
                <w:rFonts w:ascii="Times New Roman" w:hAnsi="Times New Roman" w:cs="Times New Roman"/>
                <w:sz w:val="24"/>
                <w:szCs w:val="24"/>
              </w:rPr>
              <w:t>Constant asymmetric variance</w:t>
            </w:r>
          </w:p>
        </w:tc>
        <w:tc>
          <w:tcPr>
            <w:tcW w:w="1890" w:type="dxa"/>
          </w:tcPr>
          <w:p w14:paraId="2485C4B1" w14:textId="3FFAB21F" w:rsidR="007C1996" w:rsidRDefault="007C1996" w:rsidP="007C1996">
            <w:pPr>
              <w:rPr>
                <w:rFonts w:ascii="Times New Roman" w:hAnsi="Times New Roman" w:cs="Times New Roman"/>
                <w:sz w:val="24"/>
                <w:szCs w:val="24"/>
              </w:rPr>
            </w:pPr>
            <w:r>
              <w:rPr>
                <w:rFonts w:ascii="Times New Roman" w:hAnsi="Times New Roman" w:cs="Times New Roman"/>
                <w:sz w:val="24"/>
                <w:szCs w:val="24"/>
              </w:rPr>
              <w:t>0.8</w:t>
            </w:r>
          </w:p>
        </w:tc>
        <w:tc>
          <w:tcPr>
            <w:tcW w:w="1530" w:type="dxa"/>
          </w:tcPr>
          <w:p w14:paraId="3AD76F5A" w14:textId="53E2DD0B" w:rsidR="007C1996" w:rsidRDefault="00A07341" w:rsidP="007C1996">
            <w:pPr>
              <w:rPr>
                <w:rFonts w:ascii="Times New Roman" w:hAnsi="Times New Roman" w:cs="Times New Roman"/>
                <w:sz w:val="24"/>
                <w:szCs w:val="24"/>
              </w:rPr>
            </w:pPr>
            <w:r>
              <w:rPr>
                <w:rFonts w:ascii="Times New Roman" w:hAnsi="Times New Roman" w:cs="Times New Roman"/>
                <w:sz w:val="24"/>
                <w:szCs w:val="24"/>
              </w:rPr>
              <w:t>0.03</w:t>
            </w:r>
          </w:p>
        </w:tc>
        <w:tc>
          <w:tcPr>
            <w:tcW w:w="1710" w:type="dxa"/>
          </w:tcPr>
          <w:p w14:paraId="34AD7D59" w14:textId="587214F2" w:rsidR="007C1996" w:rsidRDefault="007C1996" w:rsidP="007C1996">
            <w:pPr>
              <w:rPr>
                <w:rFonts w:ascii="Times New Roman" w:hAnsi="Times New Roman" w:cs="Times New Roman"/>
                <w:sz w:val="24"/>
                <w:szCs w:val="24"/>
              </w:rPr>
            </w:pPr>
            <w:r>
              <w:rPr>
                <w:rFonts w:ascii="Times New Roman" w:hAnsi="Times New Roman" w:cs="Times New Roman"/>
                <w:sz w:val="24"/>
                <w:szCs w:val="24"/>
              </w:rPr>
              <w:t>Size - 20</w:t>
            </w:r>
          </w:p>
        </w:tc>
        <w:tc>
          <w:tcPr>
            <w:tcW w:w="1710" w:type="dxa"/>
          </w:tcPr>
          <w:p w14:paraId="348A176A" w14:textId="5CB919E1" w:rsidR="007C1996" w:rsidRDefault="007C1996" w:rsidP="007C1996">
            <w:pPr>
              <w:rPr>
                <w:rFonts w:ascii="Times New Roman" w:hAnsi="Times New Roman" w:cs="Times New Roman"/>
                <w:sz w:val="24"/>
                <w:szCs w:val="24"/>
              </w:rPr>
            </w:pPr>
            <w:r>
              <w:rPr>
                <w:rFonts w:ascii="Times New Roman" w:hAnsi="Times New Roman" w:cs="Times New Roman"/>
                <w:sz w:val="24"/>
                <w:szCs w:val="24"/>
              </w:rPr>
              <w:t>Size + 40</w:t>
            </w:r>
          </w:p>
        </w:tc>
      </w:tr>
      <w:tr w:rsidR="007C1996" w14:paraId="7C9FEAEB" w14:textId="30B11CF8" w:rsidTr="00A07341">
        <w:trPr>
          <w:trHeight w:val="524"/>
        </w:trPr>
        <w:tc>
          <w:tcPr>
            <w:tcW w:w="2245" w:type="dxa"/>
          </w:tcPr>
          <w:p w14:paraId="6B4558D2" w14:textId="033D0163" w:rsidR="007C1996" w:rsidRDefault="007C1996" w:rsidP="007C1996">
            <w:pPr>
              <w:rPr>
                <w:rFonts w:ascii="Times New Roman" w:hAnsi="Times New Roman" w:cs="Times New Roman"/>
                <w:sz w:val="24"/>
                <w:szCs w:val="24"/>
              </w:rPr>
            </w:pPr>
            <w:r>
              <w:rPr>
                <w:rFonts w:ascii="Times New Roman" w:hAnsi="Times New Roman" w:cs="Times New Roman"/>
                <w:sz w:val="24"/>
                <w:szCs w:val="24"/>
              </w:rPr>
              <w:t>Increasing asymmetric variance</w:t>
            </w:r>
          </w:p>
        </w:tc>
        <w:tc>
          <w:tcPr>
            <w:tcW w:w="1890" w:type="dxa"/>
          </w:tcPr>
          <w:p w14:paraId="5E6D6CE5" w14:textId="6969E836" w:rsidR="007C1996" w:rsidRDefault="007C1996" w:rsidP="00A07341">
            <w:pPr>
              <w:rPr>
                <w:rFonts w:ascii="Times New Roman" w:hAnsi="Times New Roman" w:cs="Times New Roman"/>
                <w:sz w:val="24"/>
                <w:szCs w:val="24"/>
              </w:rPr>
            </w:pPr>
            <w:r>
              <w:rPr>
                <w:rFonts w:ascii="Times New Roman" w:hAnsi="Times New Roman" w:cs="Times New Roman"/>
                <w:sz w:val="24"/>
                <w:szCs w:val="24"/>
              </w:rPr>
              <w:t>0.</w:t>
            </w:r>
            <w:r w:rsidR="00A07341">
              <w:rPr>
                <w:rFonts w:ascii="Times New Roman" w:hAnsi="Times New Roman" w:cs="Times New Roman"/>
                <w:sz w:val="24"/>
                <w:szCs w:val="24"/>
              </w:rPr>
              <w:t>5</w:t>
            </w:r>
            <w:r w:rsidR="00FA2B81">
              <w:rPr>
                <w:rFonts w:ascii="Times New Roman" w:hAnsi="Times New Roman" w:cs="Times New Roman"/>
                <w:sz w:val="24"/>
                <w:szCs w:val="24"/>
              </w:rPr>
              <w:t xml:space="preserve"> + S</w:t>
            </w:r>
            <w:r>
              <w:rPr>
                <w:rFonts w:ascii="Times New Roman" w:hAnsi="Times New Roman" w:cs="Times New Roman"/>
                <w:sz w:val="24"/>
                <w:szCs w:val="24"/>
              </w:rPr>
              <w:t>ize*0.00</w:t>
            </w:r>
            <w:r w:rsidR="00A07341">
              <w:rPr>
                <w:rFonts w:ascii="Times New Roman" w:hAnsi="Times New Roman" w:cs="Times New Roman"/>
                <w:sz w:val="24"/>
                <w:szCs w:val="24"/>
              </w:rPr>
              <w:t>4</w:t>
            </w:r>
          </w:p>
        </w:tc>
        <w:tc>
          <w:tcPr>
            <w:tcW w:w="1530" w:type="dxa"/>
          </w:tcPr>
          <w:p w14:paraId="26F769BB" w14:textId="3A1F2E29" w:rsidR="007C1996" w:rsidRDefault="00A07341" w:rsidP="007C1996">
            <w:pPr>
              <w:rPr>
                <w:rFonts w:ascii="Times New Roman" w:hAnsi="Times New Roman" w:cs="Times New Roman"/>
                <w:sz w:val="24"/>
                <w:szCs w:val="24"/>
              </w:rPr>
            </w:pPr>
            <w:r>
              <w:rPr>
                <w:rFonts w:ascii="Times New Roman" w:hAnsi="Times New Roman" w:cs="Times New Roman"/>
                <w:sz w:val="24"/>
                <w:szCs w:val="24"/>
              </w:rPr>
              <w:t>0.03</w:t>
            </w:r>
          </w:p>
        </w:tc>
        <w:tc>
          <w:tcPr>
            <w:tcW w:w="1710" w:type="dxa"/>
          </w:tcPr>
          <w:p w14:paraId="0A7C2711" w14:textId="5E39D779" w:rsidR="007C1996" w:rsidRDefault="007C1996" w:rsidP="007C1996">
            <w:pPr>
              <w:rPr>
                <w:rFonts w:ascii="Times New Roman" w:hAnsi="Times New Roman" w:cs="Times New Roman"/>
                <w:sz w:val="24"/>
                <w:szCs w:val="24"/>
              </w:rPr>
            </w:pPr>
            <w:r>
              <w:rPr>
                <w:rFonts w:ascii="Times New Roman" w:hAnsi="Times New Roman" w:cs="Times New Roman"/>
                <w:sz w:val="24"/>
                <w:szCs w:val="24"/>
              </w:rPr>
              <w:t>-5 + Size*0.8</w:t>
            </w:r>
          </w:p>
        </w:tc>
        <w:tc>
          <w:tcPr>
            <w:tcW w:w="1710" w:type="dxa"/>
          </w:tcPr>
          <w:p w14:paraId="15B1194F" w14:textId="39AF1E3C" w:rsidR="007C1996" w:rsidRDefault="007C1996" w:rsidP="007C1996">
            <w:pPr>
              <w:rPr>
                <w:rFonts w:ascii="Times New Roman" w:hAnsi="Times New Roman" w:cs="Times New Roman"/>
                <w:sz w:val="24"/>
                <w:szCs w:val="24"/>
              </w:rPr>
            </w:pPr>
            <w:r>
              <w:rPr>
                <w:rFonts w:ascii="Times New Roman" w:hAnsi="Times New Roman" w:cs="Times New Roman"/>
                <w:sz w:val="24"/>
                <w:szCs w:val="24"/>
              </w:rPr>
              <w:t>5 + Size*1.2</w:t>
            </w:r>
          </w:p>
        </w:tc>
      </w:tr>
    </w:tbl>
    <w:p w14:paraId="7F766734" w14:textId="77777777" w:rsidR="007C1996" w:rsidRPr="007C1996" w:rsidRDefault="007C1996">
      <w:pPr>
        <w:rPr>
          <w:rFonts w:ascii="Times New Roman" w:hAnsi="Times New Roman" w:cs="Times New Roman"/>
          <w:sz w:val="24"/>
          <w:szCs w:val="24"/>
        </w:rPr>
      </w:pPr>
    </w:p>
    <w:sectPr w:rsidR="007C1996" w:rsidRPr="007C1996" w:rsidSect="000F39DA">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CADEF" w14:textId="77777777" w:rsidR="0016312B" w:rsidRDefault="0016312B" w:rsidP="000F39DA">
      <w:pPr>
        <w:spacing w:line="240" w:lineRule="auto"/>
      </w:pPr>
      <w:r>
        <w:separator/>
      </w:r>
    </w:p>
  </w:endnote>
  <w:endnote w:type="continuationSeparator" w:id="0">
    <w:p w14:paraId="7B2F355D" w14:textId="77777777" w:rsidR="0016312B" w:rsidRDefault="0016312B" w:rsidP="000F39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908558"/>
      <w:docPartObj>
        <w:docPartGallery w:val="Page Numbers (Bottom of Page)"/>
        <w:docPartUnique/>
      </w:docPartObj>
    </w:sdtPr>
    <w:sdtEndPr>
      <w:rPr>
        <w:noProof/>
      </w:rPr>
    </w:sdtEndPr>
    <w:sdtContent>
      <w:p w14:paraId="4318FEA8" w14:textId="677886F6" w:rsidR="000F39DA" w:rsidRDefault="000F39DA">
        <w:pPr>
          <w:pStyle w:val="Footer"/>
          <w:jc w:val="right"/>
        </w:pPr>
        <w:r>
          <w:fldChar w:fldCharType="begin"/>
        </w:r>
        <w:r>
          <w:instrText xml:space="preserve"> PAGE   \* MERGEFORMAT </w:instrText>
        </w:r>
        <w:r>
          <w:fldChar w:fldCharType="separate"/>
        </w:r>
        <w:r w:rsidR="00E32427">
          <w:rPr>
            <w:noProof/>
          </w:rPr>
          <w:t>13</w:t>
        </w:r>
        <w:r>
          <w:rPr>
            <w:noProof/>
          </w:rPr>
          <w:fldChar w:fldCharType="end"/>
        </w:r>
      </w:p>
    </w:sdtContent>
  </w:sdt>
  <w:p w14:paraId="5E84BDEB" w14:textId="77777777" w:rsidR="000F39DA" w:rsidRDefault="000F39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D2EF8" w14:textId="77777777" w:rsidR="0016312B" w:rsidRDefault="0016312B" w:rsidP="000F39DA">
      <w:pPr>
        <w:spacing w:line="240" w:lineRule="auto"/>
      </w:pPr>
      <w:r>
        <w:separator/>
      </w:r>
    </w:p>
  </w:footnote>
  <w:footnote w:type="continuationSeparator" w:id="0">
    <w:p w14:paraId="0664EA54" w14:textId="77777777" w:rsidR="0016312B" w:rsidRDefault="0016312B" w:rsidP="000F39D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Meth Ecology Evolution (1)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5zds5rvr0rd4e2v215svr9svewsz9rd5ap&quot;&gt;UCSClibrary&lt;record-ids&gt;&lt;item&gt;1777&lt;/item&gt;&lt;item&gt;1824&lt;/item&gt;&lt;item&gt;2503&lt;/item&gt;&lt;item&gt;2906&lt;/item&gt;&lt;item&gt;2926&lt;/item&gt;&lt;/record-ids&gt;&lt;/item&gt;&lt;/Libraries&gt;"/>
  </w:docVars>
  <w:rsids>
    <w:rsidRoot w:val="00A976FB"/>
    <w:rsid w:val="00021C54"/>
    <w:rsid w:val="000562DB"/>
    <w:rsid w:val="000623F1"/>
    <w:rsid w:val="00094F42"/>
    <w:rsid w:val="000A6B00"/>
    <w:rsid w:val="000B7F6F"/>
    <w:rsid w:val="000E392B"/>
    <w:rsid w:val="000F39DA"/>
    <w:rsid w:val="00101632"/>
    <w:rsid w:val="0011549E"/>
    <w:rsid w:val="0012543B"/>
    <w:rsid w:val="0016312B"/>
    <w:rsid w:val="001C37F1"/>
    <w:rsid w:val="001F36CB"/>
    <w:rsid w:val="00250D45"/>
    <w:rsid w:val="002536C3"/>
    <w:rsid w:val="00276970"/>
    <w:rsid w:val="0027771A"/>
    <w:rsid w:val="003031C9"/>
    <w:rsid w:val="00304A1C"/>
    <w:rsid w:val="0032334B"/>
    <w:rsid w:val="0033239D"/>
    <w:rsid w:val="00343FF5"/>
    <w:rsid w:val="00344D42"/>
    <w:rsid w:val="003C0669"/>
    <w:rsid w:val="003C42EA"/>
    <w:rsid w:val="003F5257"/>
    <w:rsid w:val="00417744"/>
    <w:rsid w:val="004306B8"/>
    <w:rsid w:val="00460978"/>
    <w:rsid w:val="005072C0"/>
    <w:rsid w:val="00555863"/>
    <w:rsid w:val="00556B66"/>
    <w:rsid w:val="00573744"/>
    <w:rsid w:val="00580314"/>
    <w:rsid w:val="00585399"/>
    <w:rsid w:val="005A0E88"/>
    <w:rsid w:val="005F4CF1"/>
    <w:rsid w:val="00620B2E"/>
    <w:rsid w:val="00630038"/>
    <w:rsid w:val="00635640"/>
    <w:rsid w:val="00646109"/>
    <w:rsid w:val="00647717"/>
    <w:rsid w:val="006854AF"/>
    <w:rsid w:val="006A41F9"/>
    <w:rsid w:val="006C035E"/>
    <w:rsid w:val="006C4842"/>
    <w:rsid w:val="006D5863"/>
    <w:rsid w:val="006F7613"/>
    <w:rsid w:val="007675B7"/>
    <w:rsid w:val="007733B9"/>
    <w:rsid w:val="00773953"/>
    <w:rsid w:val="00773E27"/>
    <w:rsid w:val="007B2676"/>
    <w:rsid w:val="007C1996"/>
    <w:rsid w:val="007D0FFD"/>
    <w:rsid w:val="007E50F7"/>
    <w:rsid w:val="007E77F7"/>
    <w:rsid w:val="00800EE9"/>
    <w:rsid w:val="00840DD1"/>
    <w:rsid w:val="0084602D"/>
    <w:rsid w:val="00864A67"/>
    <w:rsid w:val="00884F3B"/>
    <w:rsid w:val="008D0677"/>
    <w:rsid w:val="008F4FFA"/>
    <w:rsid w:val="0091083B"/>
    <w:rsid w:val="009110AD"/>
    <w:rsid w:val="00920ED8"/>
    <w:rsid w:val="00924207"/>
    <w:rsid w:val="0094554E"/>
    <w:rsid w:val="00960E3A"/>
    <w:rsid w:val="00963E2A"/>
    <w:rsid w:val="00974626"/>
    <w:rsid w:val="009747EC"/>
    <w:rsid w:val="009957C1"/>
    <w:rsid w:val="009D1D86"/>
    <w:rsid w:val="009E2529"/>
    <w:rsid w:val="00A07341"/>
    <w:rsid w:val="00A07C90"/>
    <w:rsid w:val="00A276BA"/>
    <w:rsid w:val="00A33E71"/>
    <w:rsid w:val="00A43BAE"/>
    <w:rsid w:val="00A719FC"/>
    <w:rsid w:val="00A84B95"/>
    <w:rsid w:val="00A90CFE"/>
    <w:rsid w:val="00A976FB"/>
    <w:rsid w:val="00AB0390"/>
    <w:rsid w:val="00AB6AE5"/>
    <w:rsid w:val="00AD02AB"/>
    <w:rsid w:val="00AD38DA"/>
    <w:rsid w:val="00AD76BE"/>
    <w:rsid w:val="00AF3633"/>
    <w:rsid w:val="00B028C5"/>
    <w:rsid w:val="00B306CE"/>
    <w:rsid w:val="00B37E02"/>
    <w:rsid w:val="00B50B5D"/>
    <w:rsid w:val="00B56157"/>
    <w:rsid w:val="00B562AA"/>
    <w:rsid w:val="00BA1785"/>
    <w:rsid w:val="00BC5050"/>
    <w:rsid w:val="00BC7F51"/>
    <w:rsid w:val="00C4659C"/>
    <w:rsid w:val="00C87BC7"/>
    <w:rsid w:val="00CA26FB"/>
    <w:rsid w:val="00CB5C05"/>
    <w:rsid w:val="00CE296C"/>
    <w:rsid w:val="00CF0FD3"/>
    <w:rsid w:val="00CF7040"/>
    <w:rsid w:val="00D33918"/>
    <w:rsid w:val="00D5565D"/>
    <w:rsid w:val="00D728D8"/>
    <w:rsid w:val="00D94C73"/>
    <w:rsid w:val="00D94E7A"/>
    <w:rsid w:val="00DC0DDB"/>
    <w:rsid w:val="00DD5AA7"/>
    <w:rsid w:val="00E038FB"/>
    <w:rsid w:val="00E305DF"/>
    <w:rsid w:val="00E31D86"/>
    <w:rsid w:val="00E32427"/>
    <w:rsid w:val="00E32F8A"/>
    <w:rsid w:val="00E579F1"/>
    <w:rsid w:val="00E62751"/>
    <w:rsid w:val="00E731F7"/>
    <w:rsid w:val="00E83F79"/>
    <w:rsid w:val="00EA1647"/>
    <w:rsid w:val="00EC38C8"/>
    <w:rsid w:val="00EE582B"/>
    <w:rsid w:val="00F26F61"/>
    <w:rsid w:val="00F35836"/>
    <w:rsid w:val="00F40374"/>
    <w:rsid w:val="00F55AAF"/>
    <w:rsid w:val="00F95AA1"/>
    <w:rsid w:val="00FA2505"/>
    <w:rsid w:val="00FA2B81"/>
    <w:rsid w:val="00FA7EE0"/>
    <w:rsid w:val="00FB26A7"/>
    <w:rsid w:val="00FC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0AC64"/>
  <w15:chartTrackingRefBased/>
  <w15:docId w15:val="{94BB98EC-B0E2-4573-8FD3-E86B9C45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6157"/>
    <w:rPr>
      <w:sz w:val="16"/>
      <w:szCs w:val="16"/>
    </w:rPr>
  </w:style>
  <w:style w:type="paragraph" w:styleId="CommentText">
    <w:name w:val="annotation text"/>
    <w:basedOn w:val="Normal"/>
    <w:link w:val="CommentTextChar"/>
    <w:uiPriority w:val="99"/>
    <w:semiHidden/>
    <w:unhideWhenUsed/>
    <w:rsid w:val="00B56157"/>
    <w:pPr>
      <w:spacing w:line="240" w:lineRule="auto"/>
    </w:pPr>
    <w:rPr>
      <w:sz w:val="20"/>
      <w:szCs w:val="20"/>
    </w:rPr>
  </w:style>
  <w:style w:type="character" w:customStyle="1" w:styleId="CommentTextChar">
    <w:name w:val="Comment Text Char"/>
    <w:basedOn w:val="DefaultParagraphFont"/>
    <w:link w:val="CommentText"/>
    <w:uiPriority w:val="99"/>
    <w:semiHidden/>
    <w:rsid w:val="00B56157"/>
    <w:rPr>
      <w:sz w:val="20"/>
      <w:szCs w:val="20"/>
    </w:rPr>
  </w:style>
  <w:style w:type="paragraph" w:styleId="CommentSubject">
    <w:name w:val="annotation subject"/>
    <w:basedOn w:val="CommentText"/>
    <w:next w:val="CommentText"/>
    <w:link w:val="CommentSubjectChar"/>
    <w:uiPriority w:val="99"/>
    <w:semiHidden/>
    <w:unhideWhenUsed/>
    <w:rsid w:val="00B56157"/>
    <w:rPr>
      <w:b/>
      <w:bCs/>
    </w:rPr>
  </w:style>
  <w:style w:type="character" w:customStyle="1" w:styleId="CommentSubjectChar">
    <w:name w:val="Comment Subject Char"/>
    <w:basedOn w:val="CommentTextChar"/>
    <w:link w:val="CommentSubject"/>
    <w:uiPriority w:val="99"/>
    <w:semiHidden/>
    <w:rsid w:val="00B56157"/>
    <w:rPr>
      <w:b/>
      <w:bCs/>
      <w:sz w:val="20"/>
      <w:szCs w:val="20"/>
    </w:rPr>
  </w:style>
  <w:style w:type="paragraph" w:styleId="BalloonText">
    <w:name w:val="Balloon Text"/>
    <w:basedOn w:val="Normal"/>
    <w:link w:val="BalloonTextChar"/>
    <w:uiPriority w:val="99"/>
    <w:semiHidden/>
    <w:unhideWhenUsed/>
    <w:rsid w:val="00B561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157"/>
    <w:rPr>
      <w:rFonts w:ascii="Segoe UI" w:hAnsi="Segoe UI" w:cs="Segoe UI"/>
      <w:sz w:val="18"/>
      <w:szCs w:val="18"/>
    </w:rPr>
  </w:style>
  <w:style w:type="table" w:styleId="TableGrid">
    <w:name w:val="Table Grid"/>
    <w:basedOn w:val="TableNormal"/>
    <w:uiPriority w:val="39"/>
    <w:rsid w:val="007C19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0623F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623F1"/>
    <w:rPr>
      <w:rFonts w:ascii="Calibri" w:hAnsi="Calibri" w:cs="Calibri"/>
      <w:noProof/>
    </w:rPr>
  </w:style>
  <w:style w:type="character" w:styleId="Emphasis">
    <w:name w:val="Emphasis"/>
    <w:basedOn w:val="DefaultParagraphFont"/>
    <w:uiPriority w:val="20"/>
    <w:qFormat/>
    <w:rsid w:val="000623F1"/>
    <w:rPr>
      <w:i/>
      <w:iCs/>
    </w:rPr>
  </w:style>
  <w:style w:type="paragraph" w:customStyle="1" w:styleId="EndNoteBibliographyTitle">
    <w:name w:val="EndNote Bibliography Title"/>
    <w:basedOn w:val="Normal"/>
    <w:link w:val="EndNoteBibliographyTitleChar"/>
    <w:rsid w:val="000623F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623F1"/>
    <w:rPr>
      <w:rFonts w:ascii="Calibri" w:hAnsi="Calibri" w:cs="Calibri"/>
      <w:noProof/>
    </w:rPr>
  </w:style>
  <w:style w:type="paragraph" w:styleId="Header">
    <w:name w:val="header"/>
    <w:basedOn w:val="Normal"/>
    <w:link w:val="HeaderChar"/>
    <w:uiPriority w:val="99"/>
    <w:unhideWhenUsed/>
    <w:rsid w:val="000F39DA"/>
    <w:pPr>
      <w:tabs>
        <w:tab w:val="center" w:pos="4680"/>
        <w:tab w:val="right" w:pos="9360"/>
      </w:tabs>
      <w:spacing w:line="240" w:lineRule="auto"/>
    </w:pPr>
  </w:style>
  <w:style w:type="character" w:customStyle="1" w:styleId="HeaderChar">
    <w:name w:val="Header Char"/>
    <w:basedOn w:val="DefaultParagraphFont"/>
    <w:link w:val="Header"/>
    <w:uiPriority w:val="99"/>
    <w:rsid w:val="000F39DA"/>
  </w:style>
  <w:style w:type="paragraph" w:styleId="Footer">
    <w:name w:val="footer"/>
    <w:basedOn w:val="Normal"/>
    <w:link w:val="FooterChar"/>
    <w:uiPriority w:val="99"/>
    <w:unhideWhenUsed/>
    <w:rsid w:val="000F39DA"/>
    <w:pPr>
      <w:tabs>
        <w:tab w:val="center" w:pos="4680"/>
        <w:tab w:val="right" w:pos="9360"/>
      </w:tabs>
      <w:spacing w:line="240" w:lineRule="auto"/>
    </w:pPr>
  </w:style>
  <w:style w:type="character" w:customStyle="1" w:styleId="FooterChar">
    <w:name w:val="Footer Char"/>
    <w:basedOn w:val="DefaultParagraphFont"/>
    <w:link w:val="Footer"/>
    <w:uiPriority w:val="99"/>
    <w:rsid w:val="000F39DA"/>
  </w:style>
  <w:style w:type="character" w:styleId="LineNumber">
    <w:name w:val="line number"/>
    <w:basedOn w:val="DefaultParagraphFont"/>
    <w:uiPriority w:val="99"/>
    <w:semiHidden/>
    <w:unhideWhenUsed/>
    <w:rsid w:val="000F3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6.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2680</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Lynn Peterson</dc:creator>
  <cp:keywords/>
  <dc:description/>
  <cp:lastModifiedBy>Megan Lynn Peterson</cp:lastModifiedBy>
  <cp:revision>7</cp:revision>
  <dcterms:created xsi:type="dcterms:W3CDTF">2019-02-01T19:32:00Z</dcterms:created>
  <dcterms:modified xsi:type="dcterms:W3CDTF">2019-02-04T19:37:00Z</dcterms:modified>
</cp:coreProperties>
</file>