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Postcard Direct Mail — Advertising Service Agreement</w:t>
      </w:r>
    </w:p>
    <w:p>
      <w:r>
        <w:rPr>
          <w:i/>
        </w:rPr>
        <w:t>California / SF Bay Area · Template v1</w:t>
      </w:r>
    </w:p>
    <w:p>
      <w:pPr>
        <w:pStyle w:val="Heading1"/>
      </w:pPr>
      <w:r>
        <w:t>1. Parties</w:t>
      </w:r>
    </w:p>
    <w:p>
      <w:r>
        <w:t>This Advertising Service Agreement ("Agreement") is entered into as of ______________ ("Effective Date") between [YOUR BUSINESS NAME], a California sole proprietorship doing business as [DBA] ("Publisher"), and [ADVERTISER LEGAL NAME] ("Advertiser").</w:t>
      </w:r>
    </w:p>
    <w:p>
      <w:pPr>
        <w:pStyle w:val="Heading1"/>
      </w:pPr>
      <w:r>
        <w:t>2. Services</w:t>
      </w:r>
    </w:p>
    <w:p>
      <w:r>
        <w:t>Publisher will produce a shared postcard advertising piece ("Postcard") and arrange for distribution to approximately [HOUSEHOLD COUNT] households in the [COMMUNITY NAME], CA target area (zip code(s) [ZIP]) via the United States Postal Service Every Door Direct Mail (EDDM) program.</w:t>
      </w:r>
    </w:p>
    <w:p>
      <w:r>
        <w:t>Advertiser will receive one (1) exclusive ad slot in the business category of [CATEGORY] on the Postcard. No competing business in the same category will appear on the same Postcard or on any other Postcard distributed by Publisher to the same target area during the term of this Agreement.</w:t>
      </w:r>
    </w:p>
    <w:p>
      <w:pPr>
        <w:pStyle w:val="Heading1"/>
      </w:pPr>
      <w:r>
        <w:t>3. Term</w:t>
      </w:r>
    </w:p>
    <w:p>
      <w:r>
        <w:t>This Agreement covers one (1) campaign with target in-home delivery on or about [TARGET DROP DATE]. Category exclusivity for Advertiser begins on the Effective Date and continues until the later of (a) thirty (30) days after target in-home delivery, or (b) the date Advertiser declines a renewal offer in writing.</w:t>
      </w:r>
    </w:p>
    <w:p>
      <w:pPr>
        <w:pStyle w:val="Heading1"/>
      </w:pPr>
      <w:r>
        <w:t>4. Fees &amp; Payment</w:t>
      </w:r>
    </w:p>
    <w:p>
      <w:r>
        <w:t>Total advertising fee: $[TOTAL]. Payment terms: 50% deposit due upon execution of this Agreement; remaining 50% due before the Postcard goes to print. All payments via ACH or check made payable to [YOUR BUSINESS NAME].</w:t>
      </w:r>
    </w:p>
    <w:p>
      <w:r>
        <w:t>If Advertiser fails to pay the final 50% within five (5) business days of Publisher's request, Publisher may, at its option, replace Advertiser's ad slot, retain the deposit as liquidated damages, and pursue any other remedy available at law.</w:t>
      </w:r>
    </w:p>
    <w:p>
      <w:pPr>
        <w:pStyle w:val="Heading1"/>
      </w:pPr>
      <w:r>
        <w:t>5. Creative &amp; Approval</w:t>
      </w:r>
    </w:p>
    <w:p>
      <w:r>
        <w:t>Advertiser will provide logo files (vector preferred), brand colors, preferred offer/headline copy, photography (if applicable), and any regulatory disclosures within five (5) business days of the Effective Date. Publisher will produce a digital proof and Advertiser will have three (3) business days to request revisions or approve. Advertiser is responsible for the accuracy of all copy, claims, prices, and offers in its ad slot.</w:t>
      </w:r>
    </w:p>
    <w:p>
      <w:pPr>
        <w:pStyle w:val="Heading1"/>
      </w:pPr>
      <w:r>
        <w:t>6. Distribution</w:t>
      </w:r>
    </w:p>
    <w:p>
      <w:r>
        <w:t>Publisher will arrange printing on minimum 14pt cardstock and submit the Postcards via USPS EDDM at the Destination Delivery Unit (DDU) serving the target zip code(s). Postage of $0.247/piece is included in the advertising fee. Actual delivery dates depend on USPS processing and may vary by 5–10 business days from the target drop date.</w:t>
      </w:r>
    </w:p>
    <w:p>
      <w:pPr>
        <w:pStyle w:val="Heading1"/>
      </w:pPr>
      <w:r>
        <w:t>7. Performance</w:t>
      </w:r>
    </w:p>
    <w:p>
      <w:r>
        <w:t>Publisher does not guarantee any specific number of leads, calls, appointments, or sales. Direct-mail performance varies based on offer, creative, season, and Advertiser response capability. Publisher will, on request, provide aggregated campaign metrics (drop date, household count, route information).</w:t>
      </w:r>
    </w:p>
    <w:p>
      <w:pPr>
        <w:pStyle w:val="Heading1"/>
      </w:pPr>
      <w:r>
        <w:t>8. Renewal &amp; Right of First Refusal</w:t>
      </w:r>
    </w:p>
    <w:p>
      <w:r>
        <w:t>Advertiser will have a right of first refusal on the same category for the next campaign in the same target community at a discount of fifteen percent (15%) off the then-current rate, provided Advertiser exercises this right within fourteen (14) days after delivery of the current campaign.</w:t>
      </w:r>
    </w:p>
    <w:p>
      <w:pPr>
        <w:pStyle w:val="Heading1"/>
      </w:pPr>
      <w:r>
        <w:t>9. Indemnification</w:t>
      </w:r>
    </w:p>
    <w:p>
      <w:r>
        <w:t>Advertiser agrees to indemnify and hold Publisher harmless from any claim arising out of the content of Advertiser's ad slot, including but not limited to claims of false advertising, intellectual property infringement, or regulatory violations.</w:t>
      </w:r>
    </w:p>
    <w:p>
      <w:pPr>
        <w:pStyle w:val="Heading1"/>
      </w:pPr>
      <w:r>
        <w:t>10. Limitation of Liability</w:t>
      </w:r>
    </w:p>
    <w:p>
      <w:r>
        <w:t>Publisher's total liability under this Agreement is limited to the fees paid by Advertiser. In no event will Publisher be liable for indirect, incidental, consequential, or punitive damages.</w:t>
      </w:r>
    </w:p>
    <w:p>
      <w:pPr>
        <w:pStyle w:val="Heading1"/>
      </w:pPr>
      <w:r>
        <w:t>11. Governing Law &amp; Venue</w:t>
      </w:r>
    </w:p>
    <w:p>
      <w:r>
        <w:t>This Agreement is governed by the laws of the State of California, without regard to its conflict of laws rules. Venue for any dispute lies in the state or federal courts located in [COUNTY], California.</w:t>
      </w:r>
    </w:p>
    <w:p>
      <w:pPr>
        <w:pStyle w:val="Heading1"/>
      </w:pPr>
      <w:r>
        <w:t>12. Entire Agreement</w:t>
      </w:r>
    </w:p>
    <w:p>
      <w:r>
        <w:t>This Agreement constitutes the entire understanding between the parties and supersedes all prior discussions. Amendments must be in writing and signed by both parties.</w:t>
      </w:r>
    </w:p>
    <w:p>
      <w:pPr>
        <w:pStyle w:val="Heading1"/>
      </w:pPr>
      <w:r>
        <w:t>13. Signatures</w:t>
      </w:r>
    </w:p>
    <w:tbl>
      <w:tblPr>
        <w:tblStyle w:val="LightGrid"/>
        <w:tblW w:type="auto" w:w="0"/>
        <w:tblLook w:firstColumn="1" w:firstRow="1" w:lastColumn="0" w:lastRow="0" w:noHBand="0" w:noVBand="1" w:val="04A0"/>
      </w:tblPr>
      <w:tblGrid>
        <w:gridCol w:w="4320"/>
        <w:gridCol w:w="4320"/>
      </w:tblGrid>
      <w:tr>
        <w:tc>
          <w:tcPr>
            <w:tcW w:type="dxa" w:w="4320"/>
          </w:tcPr>
          <w:p>
            <w:r>
              <w:t>Publisher</w:t>
            </w:r>
          </w:p>
        </w:tc>
        <w:tc>
          <w:tcPr>
            <w:tcW w:type="dxa" w:w="4320"/>
          </w:tcPr>
          <w:p>
            <w:r>
              <w:t>Advertiser</w:t>
            </w:r>
          </w:p>
        </w:tc>
      </w:tr>
      <w:tr>
        <w:tc>
          <w:tcPr>
            <w:tcW w:type="dxa" w:w="4320"/>
          </w:tcPr>
          <w:p>
            <w:r>
              <w:t>Signature: _______________________</w:t>
            </w:r>
          </w:p>
        </w:tc>
        <w:tc>
          <w:tcPr>
            <w:tcW w:type="dxa" w:w="4320"/>
          </w:tcPr>
          <w:p>
            <w:r>
              <w:t>Signature: _______________________</w:t>
            </w:r>
          </w:p>
        </w:tc>
      </w:tr>
      <w:tr>
        <w:tc>
          <w:tcPr>
            <w:tcW w:type="dxa" w:w="4320"/>
          </w:tcPr>
          <w:p>
            <w:r>
              <w:t>Print name: ______________________</w:t>
            </w:r>
          </w:p>
        </w:tc>
        <w:tc>
          <w:tcPr>
            <w:tcW w:type="dxa" w:w="4320"/>
          </w:tcPr>
          <w:p>
            <w:r>
              <w:t>Print name: ______________________</w:t>
            </w:r>
          </w:p>
        </w:tc>
      </w:tr>
      <w:tr>
        <w:tc>
          <w:tcPr>
            <w:tcW w:type="dxa" w:w="4320"/>
          </w:tcPr>
          <w:p>
            <w:r>
              <w:t>Date: ____________________________</w:t>
            </w:r>
          </w:p>
        </w:tc>
        <w:tc>
          <w:tcPr>
            <w:tcW w:type="dxa" w:w="4320"/>
          </w:tcPr>
          <w:p>
            <w:r>
              <w:t>Date: ____________________________</w:t>
            </w:r>
          </w:p>
        </w:tc>
      </w:tr>
    </w:tbl>
    <w:p>
      <w:r>
        <w:rPr>
          <w:i/>
        </w:rPr>
        <w:t>Publisher's California Fictitious Business Name (FBN) statement is on file with the [COUNTY] County Recorder, file no. [FBN-FILE-NO], filed [FBN-FILE-DATE].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