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4" w:lineRule="auto" w:after="80"/>
        <w:jc w:val="center"/>
      </w:pPr>
      <w:r>
        <w:rPr>
          <w:b/>
          <w:color w:val="5A5A5A"/>
          <w:sz w:val="24"/>
        </w:rPr>
        <w:t>OPERATOR GUIDE</w:t>
      </w:r>
    </w:p>
    <w:p>
      <w:pPr>
        <w:spacing w:line="254" w:lineRule="auto" w:after="80"/>
        <w:jc w:val="center"/>
      </w:pPr>
      <w:r>
        <w:rPr>
          <w:b/>
          <w:color w:val="1F4E79"/>
          <w:sz w:val="44"/>
        </w:rPr>
        <w:t>Cloud Cost Anomaly Detection</w:t>
      </w:r>
    </w:p>
    <w:p>
      <w:pPr>
        <w:spacing w:line="254" w:lineRule="auto" w:after="80"/>
        <w:jc w:val="center"/>
      </w:pPr>
      <w:r>
        <w:rPr>
          <w:i/>
          <w:sz w:val="21"/>
        </w:rPr>
        <w:t>How to start the application, load FOCUS and Alibaba data, rebuild reproducible hybrid datasets, run detection, and interpret root-cause attribution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1F4E79"/>
            <w:vAlign w:val="top"/>
          </w:tcPr>
          <w:p>
            <w:pPr>
              <w:spacing w:after="40" w:line="240" w:lineRule="auto"/>
            </w:pPr>
            <w:r/>
            <w:r>
              <w:rPr>
                <w:rFonts w:ascii="Aptos" w:hAnsi="Aptos" w:eastAsia="Aptos"/>
                <w:b/>
                <w:color w:val="FFFFFF"/>
                <w:sz w:val="18"/>
              </w:rPr>
              <w:t>Mode</w:t>
            </w:r>
          </w:p>
        </w:tc>
        <w:tc>
          <w:tcPr>
            <w:tcW w:type="dxa" w:w="3024"/>
            <w:shd w:fill="1F4E79"/>
            <w:vAlign w:val="top"/>
          </w:tcPr>
          <w:p>
            <w:pPr>
              <w:spacing w:after="40" w:line="240" w:lineRule="auto"/>
            </w:pPr>
            <w:r/>
            <w:r>
              <w:rPr>
                <w:rFonts w:ascii="Aptos" w:hAnsi="Aptos" w:eastAsia="Aptos"/>
                <w:b/>
                <w:color w:val="FFFFFF"/>
                <w:sz w:val="18"/>
              </w:rPr>
              <w:t>Data Used</w:t>
            </w:r>
          </w:p>
        </w:tc>
        <w:tc>
          <w:tcPr>
            <w:tcW w:type="dxa" w:w="3600"/>
            <w:shd w:fill="1F4E79"/>
            <w:vAlign w:val="top"/>
          </w:tcPr>
          <w:p>
            <w:pPr>
              <w:spacing w:after="40" w:line="240" w:lineRule="auto"/>
            </w:pPr>
            <w:r/>
            <w:r>
              <w:rPr>
                <w:rFonts w:ascii="Aptos" w:hAnsi="Aptos" w:eastAsia="Aptos"/>
                <w:b/>
                <w:color w:val="FFFFFF"/>
                <w:sz w:val="18"/>
              </w:rPr>
              <w:t>What It Supports</w:t>
            </w:r>
          </w:p>
        </w:tc>
        <w:tc>
          <w:tcPr>
            <w:tcW w:type="dxa" w:w="2592"/>
            <w:shd w:fill="1F4E79"/>
            <w:vAlign w:val="top"/>
          </w:tcPr>
          <w:p>
            <w:pPr>
              <w:spacing w:after="40" w:line="240" w:lineRule="auto"/>
            </w:pPr>
            <w:r/>
            <w:r>
              <w:rPr>
                <w:rFonts w:ascii="Aptos" w:hAnsi="Aptos" w:eastAsia="Aptos"/>
                <w:b/>
                <w:color w:val="FFFFFF"/>
                <w:sz w:val="18"/>
              </w:rPr>
              <w:t>Main Limitation</w:t>
            </w:r>
          </w:p>
        </w:tc>
      </w:tr>
      <w:tr>
        <w:tc>
          <w:tcPr>
            <w:tcW w:type="dxa" w:w="2016"/>
            <w:vAlign w:val="top"/>
          </w:tcPr>
          <w:p>
            <w:pPr>
              <w:spacing w:after="40" w:line="240" w:lineRule="auto"/>
            </w:pPr>
            <w:r/>
            <w:r>
              <w:rPr>
                <w:rFonts w:ascii="Aptos" w:hAnsi="Aptos" w:eastAsia="Aptos"/>
                <w:b w:val="0"/>
                <w:sz w:val="17"/>
              </w:rPr>
              <w:t>Synthetic</w:t>
            </w:r>
          </w:p>
        </w:tc>
        <w:tc>
          <w:tcPr>
            <w:tcW w:type="dxa" w:w="3024"/>
            <w:vAlign w:val="top"/>
          </w:tcPr>
          <w:p>
            <w:pPr>
              <w:spacing w:after="40" w:line="240" w:lineRule="auto"/>
            </w:pPr>
            <w:r/>
            <w:r>
              <w:rPr>
                <w:rFonts w:ascii="Aptos" w:hAnsi="Aptos" w:eastAsia="Aptos"/>
                <w:b w:val="0"/>
                <w:sz w:val="17"/>
              </w:rPr>
              <w:t>Generated billing and generated infrastructure events</w:t>
            </w:r>
          </w:p>
        </w:tc>
        <w:tc>
          <w:tcPr>
            <w:tcW w:type="dxa" w:w="3600"/>
            <w:vAlign w:val="top"/>
          </w:tcPr>
          <w:p>
            <w:pPr>
              <w:spacing w:after="40" w:line="240" w:lineRule="auto"/>
            </w:pPr>
            <w:r/>
            <w:r>
              <w:rPr>
                <w:rFonts w:ascii="Aptos" w:hAnsi="Aptos" w:eastAsia="Aptos"/>
                <w:b w:val="0"/>
                <w:sz w:val="17"/>
              </w:rPr>
              <w:t>End-to-end demo, anomaly detection, attribution, and evaluation</w:t>
            </w:r>
          </w:p>
        </w:tc>
        <w:tc>
          <w:tcPr>
            <w:tcW w:type="dxa" w:w="2592"/>
            <w:vAlign w:val="top"/>
          </w:tcPr>
          <w:p>
            <w:pPr>
              <w:spacing w:after="40" w:line="240" w:lineRule="auto"/>
            </w:pPr>
            <w:r/>
            <w:r>
              <w:rPr>
                <w:rFonts w:ascii="Aptos" w:hAnsi="Aptos" w:eastAsia="Aptos"/>
                <w:b w:val="0"/>
                <w:sz w:val="17"/>
              </w:rPr>
              <w:t>Less realistic than external billing/workload data</w:t>
            </w:r>
          </w:p>
        </w:tc>
      </w:tr>
      <w:tr>
        <w:tc>
          <w:tcPr>
            <w:tcW w:type="dxa" w:w="2016"/>
            <w:vAlign w:val="top"/>
          </w:tcPr>
          <w:p>
            <w:pPr>
              <w:spacing w:after="40" w:line="240" w:lineRule="auto"/>
            </w:pPr>
            <w:r/>
            <w:r>
              <w:rPr>
                <w:rFonts w:ascii="Aptos" w:hAnsi="Aptos" w:eastAsia="Aptos"/>
                <w:b w:val="0"/>
                <w:sz w:val="17"/>
              </w:rPr>
              <w:t>FOCUS-only</w:t>
            </w:r>
          </w:p>
        </w:tc>
        <w:tc>
          <w:tcPr>
            <w:tcW w:type="dxa" w:w="3024"/>
            <w:vAlign w:val="top"/>
          </w:tcPr>
          <w:p>
            <w:pPr>
              <w:spacing w:after="40" w:line="240" w:lineRule="auto"/>
            </w:pPr>
            <w:r/>
            <w:r>
              <w:rPr>
                <w:rFonts w:ascii="Aptos" w:hAnsi="Aptos" w:eastAsia="Aptos"/>
                <w:b w:val="0"/>
                <w:sz w:val="17"/>
              </w:rPr>
              <w:t>FOCUS sample billing records</w:t>
            </w:r>
          </w:p>
        </w:tc>
        <w:tc>
          <w:tcPr>
            <w:tcW w:type="dxa" w:w="3600"/>
            <w:vAlign w:val="top"/>
          </w:tcPr>
          <w:p>
            <w:pPr>
              <w:spacing w:after="40" w:line="240" w:lineRule="auto"/>
            </w:pPr>
            <w:r/>
            <w:r>
              <w:rPr>
                <w:rFonts w:ascii="Aptos" w:hAnsi="Aptos" w:eastAsia="Aptos"/>
                <w:b w:val="0"/>
                <w:sz w:val="17"/>
              </w:rPr>
              <w:t>Billing normalization and billing-only anomaly detection</w:t>
            </w:r>
          </w:p>
        </w:tc>
        <w:tc>
          <w:tcPr>
            <w:tcW w:type="dxa" w:w="2592"/>
            <w:vAlign w:val="top"/>
          </w:tcPr>
          <w:p>
            <w:pPr>
              <w:spacing w:after="40" w:line="240" w:lineRule="auto"/>
            </w:pPr>
            <w:r/>
            <w:r>
              <w:rPr>
                <w:rFonts w:ascii="Aptos" w:hAnsi="Aptos" w:eastAsia="Aptos"/>
                <w:b w:val="0"/>
                <w:sz w:val="17"/>
              </w:rPr>
              <w:t>F1 and root-cause attribution are N/A without labels and matching events</w:t>
            </w:r>
          </w:p>
        </w:tc>
      </w:tr>
      <w:tr>
        <w:tc>
          <w:tcPr>
            <w:tcW w:type="dxa" w:w="2016"/>
            <w:vAlign w:val="top"/>
          </w:tcPr>
          <w:p>
            <w:pPr>
              <w:spacing w:after="40" w:line="240" w:lineRule="auto"/>
            </w:pPr>
            <w:r/>
            <w:r>
              <w:rPr>
                <w:rFonts w:ascii="Aptos" w:hAnsi="Aptos" w:eastAsia="Aptos"/>
                <w:b w:val="0"/>
                <w:sz w:val="17"/>
              </w:rPr>
              <w:t>Hybrid synthesized</w:t>
            </w:r>
          </w:p>
        </w:tc>
        <w:tc>
          <w:tcPr>
            <w:tcW w:type="dxa" w:w="3024"/>
            <w:vAlign w:val="top"/>
          </w:tcPr>
          <w:p>
            <w:pPr>
              <w:spacing w:after="40" w:line="240" w:lineRule="auto"/>
            </w:pPr>
            <w:r/>
            <w:r>
              <w:rPr>
                <w:rFonts w:ascii="Aptos" w:hAnsi="Aptos" w:eastAsia="Aptos"/>
                <w:b w:val="0"/>
                <w:sz w:val="17"/>
              </w:rPr>
              <w:t>FOCUS billing baseline + Alibaba trace-derived workload events + injected labels</w:t>
            </w:r>
          </w:p>
        </w:tc>
        <w:tc>
          <w:tcPr>
            <w:tcW w:type="dxa" w:w="3600"/>
            <w:vAlign w:val="top"/>
          </w:tcPr>
          <w:p>
            <w:pPr>
              <w:spacing w:after="40" w:line="240" w:lineRule="auto"/>
            </w:pPr>
            <w:r/>
            <w:r>
              <w:rPr>
                <w:rFonts w:ascii="Aptos" w:hAnsi="Aptos" w:eastAsia="Aptos"/>
                <w:b w:val="0"/>
                <w:sz w:val="17"/>
              </w:rPr>
              <w:t>Full controlled evaluation with F1, confusion matrix, Top-N precision, and root-cause Top-1</w:t>
            </w:r>
          </w:p>
        </w:tc>
        <w:tc>
          <w:tcPr>
            <w:tcW w:type="dxa" w:w="2592"/>
            <w:vAlign w:val="top"/>
          </w:tcPr>
          <w:p>
            <w:pPr>
              <w:spacing w:after="40" w:line="240" w:lineRule="auto"/>
            </w:pPr>
            <w:r/>
            <w:r>
              <w:rPr>
                <w:rFonts w:ascii="Aptos" w:hAnsi="Aptos" w:eastAsia="Aptos"/>
                <w:b w:val="0"/>
                <w:sz w:val="17"/>
              </w:rPr>
              <w:t>Causality is synthesized for evaluation; it is not a real causal relationship between the public datasets</w:t>
            </w:r>
          </w:p>
        </w:tc>
      </w:tr>
    </w:tbl>
    <w:p>
      <w:pPr>
        <w:spacing w:line="254" w:lineRule="auto" w:after="80"/>
      </w:pPr>
    </w:p>
    <w:p>
      <w:pPr>
        <w:pStyle w:val="Heading1"/>
        <w:spacing w:before="160" w:after="80"/>
      </w:pPr>
      <w:r>
        <w:t>1. First-Time Setup</w:t>
      </w:r>
    </w:p>
    <w:p>
      <w:pPr>
        <w:spacing w:line="254" w:lineRule="auto" w:after="80"/>
      </w:pPr>
      <w:r>
        <w:t>Complete these steps once on a new machine or after deleting the local environment. Run commands from the project root unless stated otherwise.</w:t>
      </w:r>
    </w:p>
    <w:p>
      <w:pPr>
        <w:spacing w:line="254" w:lineRule="auto" w:after="80"/>
        <w:ind w:left="403" w:hanging="317"/>
      </w:pPr>
      <w:r>
        <w:t>1. Install dependencies with npm install.</w:t>
      </w:r>
    </w:p>
    <w:p>
      <w:pPr>
        <w:spacing w:line="254" w:lineRule="auto" w:after="80"/>
        <w:ind w:left="403" w:hanging="317"/>
      </w:pPr>
      <w:r>
        <w:t>2. Create backend/.env and confirm DATABASE_URL points to the running cloud_cost_anomaly database.</w:t>
      </w:r>
    </w:p>
    <w:p>
      <w:pPr>
        <w:spacing w:line="254" w:lineRule="auto" w:after="80"/>
        <w:ind w:left="403" w:hanging="317"/>
      </w:pPr>
      <w:r>
        <w:t>3. Generate Prisma Client and apply migrations.</w:t>
      </w:r>
    </w:p>
    <w:p>
      <w:pPr>
        <w:spacing w:line="254" w:lineRule="auto" w:after="80"/>
        <w:ind w:left="403" w:hanging="317"/>
      </w:pPr>
      <w:r>
        <w:t>4. Create the Python virtual environment and install the ML requirements.</w:t>
      </w:r>
    </w:p>
    <w:p>
      <w:pPr>
        <w:spacing w:line="254" w:lineRule="auto" w:after="80"/>
        <w:ind w:left="403" w:hanging="317"/>
      </w:pPr>
      <w:r>
        <w:t>5. Start the application and open the dashboard in a browser.</w:t>
      </w:r>
    </w:p>
    <w:p>
      <w:pPr>
        <w:spacing w:after="80" w:line="254" w:lineRule="auto"/>
        <w:ind w:left="360" w:right="360"/>
      </w:pPr>
      <w:r>
        <w:rPr>
          <w:rFonts w:ascii="Consolas" w:hAnsi="Consolas" w:eastAsia="Consolas"/>
          <w:sz w:val="17"/>
        </w:rPr>
        <w:t>npm install</w:t>
        <w:br/>
        <w:br/>
        <w:t># backend/.env example</w:t>
        <w:br/>
        <w:t>DATABASE_URL="postgresql://admin:admin@localhost:5432/cloud_cost_anomaly?schema=public"</w:t>
        <w:br/>
        <w:t>PORT=4000</w:t>
        <w:br/>
        <w:br/>
        <w:t>npm run prisma:generate</w:t>
        <w:br/>
        <w:t>cd backend</w:t>
        <w:br/>
        <w:t>npx prisma migrate deploy</w:t>
        <w:br/>
        <w:t>cd ..</w:t>
        <w:br/>
        <w:br/>
        <w:t>python3 -m venv .venv</w:t>
        <w:br/>
        <w:t>source .venv/bin/activate</w:t>
        <w:br/>
        <w:t>pip install -r ml/requirements.txt</w:t>
        <w:br/>
        <w:br/>
        <w:t>npm run dev</w:t>
      </w:r>
    </w:p>
    <w:p>
      <w:pPr>
        <w:spacing w:line="254" w:lineRule="auto" w:after="80"/>
      </w:pPr>
      <w:r>
        <w:t>Open http://localhost:5173. The blue status bar should display Connected to backend. Backend health is available at http://localhost:4000/api/health.</w:t>
      </w:r>
    </w:p>
    <w:p>
      <w:pPr>
        <w:pStyle w:val="Heading1"/>
        <w:spacing w:before="160" w:after="80"/>
      </w:pPr>
      <w:r>
        <w:t>2. Understanding the Dashboard</w:t>
      </w:r>
    </w:p>
    <w:tbl>
      <w:tblPr>
        <w:tblStyle w:val="TableGrid"/>
        <w:tblW w:type="auto" w:w="0"/>
        <w:jc w:val="center"/>
        <w:tblLook w:firstColumn="1" w:firstRow="1" w:lastColumn="0" w:lastRow="0" w:noHBand="0" w:noVBand="1" w:val="04A0"/>
      </w:tblPr>
      <w:tblGrid>
        <w:gridCol w:w="5040"/>
        <w:gridCol w:w="5040"/>
      </w:tblGrid>
      <w:tr>
        <w:tc>
          <w:tcPr>
            <w:tcW w:type="dxa" w:w="3312"/>
            <w:shd w:fill="1F4E79"/>
            <w:vAlign w:val="top"/>
          </w:tcPr>
          <w:p>
            <w:pPr>
              <w:spacing w:after="40" w:line="240" w:lineRule="auto"/>
            </w:pPr>
            <w:r/>
            <w:r>
              <w:rPr>
                <w:rFonts w:ascii="Aptos" w:hAnsi="Aptos" w:eastAsia="Aptos"/>
                <w:b/>
                <w:color w:val="FFFFFF"/>
                <w:sz w:val="18"/>
              </w:rPr>
              <w:t>Dashboard Area</w:t>
            </w:r>
          </w:p>
        </w:tc>
        <w:tc>
          <w:tcPr>
            <w:tcW w:type="dxa" w:w="7488"/>
            <w:shd w:fill="1F4E79"/>
            <w:vAlign w:val="top"/>
          </w:tcPr>
          <w:p>
            <w:pPr>
              <w:spacing w:after="40" w:line="240" w:lineRule="auto"/>
            </w:pPr>
            <w:r/>
            <w:r>
              <w:rPr>
                <w:rFonts w:ascii="Aptos" w:hAnsi="Aptos" w:eastAsia="Aptos"/>
                <w:b/>
                <w:color w:val="FFFFFF"/>
                <w:sz w:val="18"/>
              </w:rPr>
              <w:t>Purpose</w:t>
            </w:r>
          </w:p>
        </w:tc>
      </w:tr>
      <w:tr>
        <w:tc>
          <w:tcPr>
            <w:tcW w:type="dxa" w:w="3312"/>
            <w:vAlign w:val="top"/>
          </w:tcPr>
          <w:p>
            <w:pPr>
              <w:spacing w:after="40" w:line="240" w:lineRule="auto"/>
            </w:pPr>
            <w:r/>
            <w:r>
              <w:rPr>
                <w:rFonts w:ascii="Aptos" w:hAnsi="Aptos" w:eastAsia="Aptos"/>
                <w:b w:val="0"/>
                <w:sz w:val="17"/>
              </w:rPr>
              <w:t>Generate Data</w:t>
            </w:r>
          </w:p>
        </w:tc>
        <w:tc>
          <w:tcPr>
            <w:tcW w:type="dxa" w:w="7488"/>
            <w:vAlign w:val="top"/>
          </w:tcPr>
          <w:p>
            <w:pPr>
              <w:spacing w:after="40" w:line="240" w:lineRule="auto"/>
            </w:pPr>
            <w:r/>
            <w:r>
              <w:rPr>
                <w:rFonts w:ascii="Aptos" w:hAnsi="Aptos" w:eastAsia="Aptos"/>
                <w:b w:val="0"/>
                <w:sz w:val="17"/>
              </w:rPr>
              <w:t>Creates or refreshes the built-in synthetic demonstration dataset.</w:t>
            </w:r>
          </w:p>
        </w:tc>
      </w:tr>
      <w:tr>
        <w:tc>
          <w:tcPr>
            <w:tcW w:type="dxa" w:w="3312"/>
            <w:vAlign w:val="top"/>
          </w:tcPr>
          <w:p>
            <w:pPr>
              <w:spacing w:after="40" w:line="240" w:lineRule="auto"/>
            </w:pPr>
            <w:r/>
            <w:r>
              <w:rPr>
                <w:rFonts w:ascii="Aptos" w:hAnsi="Aptos" w:eastAsia="Aptos"/>
                <w:b w:val="0"/>
                <w:sz w:val="17"/>
              </w:rPr>
              <w:t>Run Detection</w:t>
            </w:r>
          </w:p>
        </w:tc>
        <w:tc>
          <w:tcPr>
            <w:tcW w:type="dxa" w:w="7488"/>
            <w:vAlign w:val="top"/>
          </w:tcPr>
          <w:p>
            <w:pPr>
              <w:spacing w:after="40" w:line="240" w:lineRule="auto"/>
            </w:pPr>
            <w:r/>
            <w:r>
              <w:rPr>
                <w:rFonts w:ascii="Aptos" w:hAnsi="Aptos" w:eastAsia="Aptos"/>
                <w:b w:val="0"/>
                <w:sz w:val="17"/>
              </w:rPr>
              <w:t>Runs Isolation Forest for the currently selected source type.</w:t>
            </w:r>
          </w:p>
        </w:tc>
      </w:tr>
      <w:tr>
        <w:tc>
          <w:tcPr>
            <w:tcW w:type="dxa" w:w="3312"/>
            <w:vAlign w:val="top"/>
          </w:tcPr>
          <w:p>
            <w:pPr>
              <w:spacing w:after="40" w:line="240" w:lineRule="auto"/>
            </w:pPr>
            <w:r/>
            <w:r>
              <w:rPr>
                <w:rFonts w:ascii="Aptos" w:hAnsi="Aptos" w:eastAsia="Aptos"/>
                <w:b w:val="0"/>
                <w:sz w:val="17"/>
              </w:rPr>
              <w:t>Filters</w:t>
            </w:r>
          </w:p>
        </w:tc>
        <w:tc>
          <w:tcPr>
            <w:tcW w:type="dxa" w:w="7488"/>
            <w:vAlign w:val="top"/>
          </w:tcPr>
          <w:p>
            <w:pPr>
              <w:spacing w:after="40" w:line="240" w:lineRule="auto"/>
            </w:pPr>
            <w:r/>
            <w:r>
              <w:rPr>
                <w:rFonts w:ascii="Aptos" w:hAnsi="Aptos" w:eastAsia="Aptos"/>
                <w:b w:val="0"/>
                <w:sz w:val="17"/>
              </w:rPr>
              <w:t>Narrow data by account, service, region, severity, and source type.</w:t>
            </w:r>
          </w:p>
        </w:tc>
      </w:tr>
      <w:tr>
        <w:tc>
          <w:tcPr>
            <w:tcW w:type="dxa" w:w="3312"/>
            <w:vAlign w:val="top"/>
          </w:tcPr>
          <w:p>
            <w:pPr>
              <w:spacing w:after="40" w:line="240" w:lineRule="auto"/>
            </w:pPr>
            <w:r/>
            <w:r>
              <w:rPr>
                <w:rFonts w:ascii="Aptos" w:hAnsi="Aptos" w:eastAsia="Aptos"/>
                <w:b w:val="0"/>
                <w:sz w:val="17"/>
              </w:rPr>
              <w:t>FOCUS Sample Data Import</w:t>
            </w:r>
          </w:p>
        </w:tc>
        <w:tc>
          <w:tcPr>
            <w:tcW w:type="dxa" w:w="7488"/>
            <w:vAlign w:val="top"/>
          </w:tcPr>
          <w:p>
            <w:pPr>
              <w:spacing w:after="40" w:line="240" w:lineRule="auto"/>
            </w:pPr>
            <w:r/>
            <w:r>
              <w:rPr>
                <w:rFonts w:ascii="Aptos" w:hAnsi="Aptos" w:eastAsia="Aptos"/>
                <w:b w:val="0"/>
                <w:sz w:val="17"/>
              </w:rPr>
              <w:t>Previews FOCUS column mapping and imports billing records.</w:t>
            </w:r>
          </w:p>
        </w:tc>
      </w:tr>
      <w:tr>
        <w:tc>
          <w:tcPr>
            <w:tcW w:type="dxa" w:w="3312"/>
            <w:vAlign w:val="top"/>
          </w:tcPr>
          <w:p>
            <w:pPr>
              <w:spacing w:after="40" w:line="240" w:lineRule="auto"/>
            </w:pPr>
            <w:r/>
            <w:r>
              <w:rPr>
                <w:rFonts w:ascii="Aptos" w:hAnsi="Aptos" w:eastAsia="Aptos"/>
                <w:b w:val="0"/>
                <w:sz w:val="17"/>
              </w:rPr>
              <w:t>Hybrid FOCUS + Alibaba Trace Dataset</w:t>
            </w:r>
          </w:p>
        </w:tc>
        <w:tc>
          <w:tcPr>
            <w:tcW w:type="dxa" w:w="7488"/>
            <w:vAlign w:val="top"/>
          </w:tcPr>
          <w:p>
            <w:pPr>
              <w:spacing w:after="40" w:line="240" w:lineRule="auto"/>
            </w:pPr>
            <w:r/>
            <w:r>
              <w:rPr>
                <w:rFonts w:ascii="Aptos" w:hAnsi="Aptos" w:eastAsia="Aptos"/>
                <w:b w:val="0"/>
                <w:sz w:val="17"/>
              </w:rPr>
              <w:t>Imports Alibaba pod trace events and builds a controlled hybrid synthesized dataset.</w:t>
            </w:r>
          </w:p>
        </w:tc>
      </w:tr>
      <w:tr>
        <w:tc>
          <w:tcPr>
            <w:tcW w:type="dxa" w:w="3312"/>
            <w:vAlign w:val="top"/>
          </w:tcPr>
          <w:p>
            <w:pPr>
              <w:spacing w:after="40" w:line="240" w:lineRule="auto"/>
            </w:pPr>
            <w:r/>
            <w:r>
              <w:rPr>
                <w:rFonts w:ascii="Aptos" w:hAnsi="Aptos" w:eastAsia="Aptos"/>
                <w:b w:val="0"/>
                <w:sz w:val="17"/>
              </w:rPr>
              <w:t>Reset and Rebuild Demo Data</w:t>
            </w:r>
          </w:p>
        </w:tc>
        <w:tc>
          <w:tcPr>
            <w:tcW w:type="dxa" w:w="7488"/>
            <w:vAlign w:val="top"/>
          </w:tcPr>
          <w:p>
            <w:pPr>
              <w:spacing w:after="40" w:line="240" w:lineRule="auto"/>
            </w:pPr>
            <w:r/>
            <w:r>
              <w:rPr>
                <w:rFonts w:ascii="Aptos" w:hAnsi="Aptos" w:eastAsia="Aptos"/>
                <w:b w:val="0"/>
                <w:sz w:val="17"/>
              </w:rPr>
              <w:t>Clears and recreates demo/imported/generated data using reproducible seed and configurable injection settings. It does not drop the database schema.</w:t>
            </w:r>
          </w:p>
        </w:tc>
      </w:tr>
      <w:tr>
        <w:tc>
          <w:tcPr>
            <w:tcW w:type="dxa" w:w="3312"/>
            <w:vAlign w:val="top"/>
          </w:tcPr>
          <w:p>
            <w:pPr>
              <w:spacing w:after="40" w:line="240" w:lineRule="auto"/>
            </w:pPr>
            <w:r/>
            <w:r>
              <w:rPr>
                <w:rFonts w:ascii="Aptos" w:hAnsi="Aptos" w:eastAsia="Aptos"/>
                <w:b w:val="0"/>
                <w:sz w:val="17"/>
              </w:rPr>
              <w:t>Detection Evaluation</w:t>
            </w:r>
          </w:p>
        </w:tc>
        <w:tc>
          <w:tcPr>
            <w:tcW w:type="dxa" w:w="7488"/>
            <w:vAlign w:val="top"/>
          </w:tcPr>
          <w:p>
            <w:pPr>
              <w:spacing w:after="40" w:line="240" w:lineRule="auto"/>
            </w:pPr>
            <w:r/>
            <w:r>
              <w:rPr>
                <w:rFonts w:ascii="Aptos" w:hAnsi="Aptos" w:eastAsia="Aptos"/>
                <w:b w:val="0"/>
                <w:sz w:val="17"/>
              </w:rPr>
              <w:t>Shows precision, recall, F1, Top-N precision, confusion matrix, selected IF threshold, and post-filter settings.</w:t>
            </w:r>
          </w:p>
        </w:tc>
      </w:tr>
      <w:tr>
        <w:tc>
          <w:tcPr>
            <w:tcW w:type="dxa" w:w="3312"/>
            <w:vAlign w:val="top"/>
          </w:tcPr>
          <w:p>
            <w:pPr>
              <w:spacing w:after="40" w:line="240" w:lineRule="auto"/>
            </w:pPr>
            <w:r/>
            <w:r>
              <w:rPr>
                <w:rFonts w:ascii="Aptos" w:hAnsi="Aptos" w:eastAsia="Aptos"/>
                <w:b w:val="0"/>
                <w:sz w:val="17"/>
              </w:rPr>
              <w:t>Anomaly Table</w:t>
            </w:r>
          </w:p>
        </w:tc>
        <w:tc>
          <w:tcPr>
            <w:tcW w:type="dxa" w:w="7488"/>
            <w:vAlign w:val="top"/>
          </w:tcPr>
          <w:p>
            <w:pPr>
              <w:spacing w:after="40" w:line="240" w:lineRule="auto"/>
            </w:pPr>
            <w:r/>
            <w:r>
              <w:rPr>
                <w:rFonts w:ascii="Aptos" w:hAnsi="Aptos" w:eastAsia="Aptos"/>
                <w:b w:val="0"/>
                <w:sz w:val="17"/>
              </w:rPr>
              <w:t>Lists detected anomalies with ground truth, TP/FP evaluation, expected cause, and expected event ID.</w:t>
            </w:r>
          </w:p>
        </w:tc>
      </w:tr>
      <w:tr>
        <w:tc>
          <w:tcPr>
            <w:tcW w:type="dxa" w:w="3312"/>
            <w:vAlign w:val="top"/>
          </w:tcPr>
          <w:p>
            <w:pPr>
              <w:spacing w:after="40" w:line="240" w:lineRule="auto"/>
            </w:pPr>
            <w:r/>
            <w:r>
              <w:rPr>
                <w:rFonts w:ascii="Aptos" w:hAnsi="Aptos" w:eastAsia="Aptos"/>
                <w:b w:val="0"/>
                <w:sz w:val="17"/>
              </w:rPr>
              <w:t>Root Cause Panel</w:t>
            </w:r>
          </w:p>
        </w:tc>
        <w:tc>
          <w:tcPr>
            <w:tcW w:type="dxa" w:w="7488"/>
            <w:vAlign w:val="top"/>
          </w:tcPr>
          <w:p>
            <w:pPr>
              <w:spacing w:after="40" w:line="240" w:lineRule="auto"/>
            </w:pPr>
            <w:r/>
            <w:r>
              <w:rPr>
                <w:rFonts w:ascii="Aptos" w:hAnsi="Aptos" w:eastAsia="Aptos"/>
                <w:b w:val="0"/>
                <w:sz w:val="17"/>
              </w:rPr>
              <w:t>Runs attribution for the selected anomaly and displays ranked candidate events with confidence and evidence.</w:t>
            </w:r>
          </w:p>
        </w:tc>
      </w:tr>
      <w:tr>
        <w:tc>
          <w:tcPr>
            <w:tcW w:type="dxa" w:w="3312"/>
            <w:vAlign w:val="top"/>
          </w:tcPr>
          <w:p>
            <w:pPr>
              <w:spacing w:after="40" w:line="240" w:lineRule="auto"/>
            </w:pPr>
            <w:r/>
            <w:r>
              <w:rPr>
                <w:rFonts w:ascii="Aptos" w:hAnsi="Aptos" w:eastAsia="Aptos"/>
                <w:b w:val="0"/>
                <w:sz w:val="17"/>
              </w:rPr>
              <w:t>Event Timeline</w:t>
            </w:r>
          </w:p>
        </w:tc>
        <w:tc>
          <w:tcPr>
            <w:tcW w:type="dxa" w:w="7488"/>
            <w:vAlign w:val="top"/>
          </w:tcPr>
          <w:p>
            <w:pPr>
              <w:spacing w:after="40" w:line="240" w:lineRule="auto"/>
            </w:pPr>
            <w:r/>
            <w:r>
              <w:rPr>
                <w:rFonts w:ascii="Aptos" w:hAnsi="Aptos" w:eastAsia="Aptos"/>
                <w:b w:val="0"/>
                <w:sz w:val="17"/>
              </w:rPr>
              <w:t>Lists infrastructure events related to the current source/filter selection.</w:t>
            </w:r>
          </w:p>
        </w:tc>
      </w:tr>
    </w:tbl>
    <w:p>
      <w:pPr>
        <w:spacing w:line="254" w:lineRule="auto" w:after="80"/>
      </w:pPr>
    </w:p>
    <w:p>
      <w:pPr>
        <w:pStyle w:val="Heading1"/>
        <w:spacing w:before="160" w:after="80"/>
      </w:pPr>
      <w:r>
        <w:t>3. Importing FOCUS Billing Data</w:t>
      </w:r>
    </w:p>
    <w:p>
      <w:pPr>
        <w:spacing w:line="254" w:lineRule="auto" w:after="80"/>
      </w:pPr>
      <w:r>
        <w:t>Use this workflow when FOCUS records are not yet available or when you intentionally want to append another FOCUS CSV.</w:t>
      </w:r>
    </w:p>
    <w:p>
      <w:pPr>
        <w:spacing w:line="254" w:lineRule="auto" w:after="80"/>
        <w:ind w:left="403" w:hanging="317"/>
      </w:pPr>
      <w:r>
        <w:t>1. In FOCUS Sample Data Import, enter a CSV path such as data/focus-sample/sample.csv.</w:t>
      </w:r>
    </w:p>
    <w:p>
      <w:pPr>
        <w:spacing w:line="254" w:lineRule="auto" w:after="80"/>
        <w:ind w:left="403" w:hanging="317"/>
      </w:pPr>
      <w:r>
        <w:t>2. Click Preview Mapping. Confirm timestamp, account, service, region, usage, cost, currency, and resource fields map sensibly.</w:t>
      </w:r>
    </w:p>
    <w:p>
      <w:pPr>
        <w:spacing w:line="254" w:lineRule="auto" w:after="80"/>
        <w:ind w:left="403" w:hanging="317"/>
      </w:pPr>
      <w:r>
        <w:t>3. Click Import FOCUS CSV and wait for the inserted/skipped summary.</w:t>
      </w:r>
    </w:p>
    <w:p>
      <w:pPr>
        <w:spacing w:line="254" w:lineRule="auto" w:after="80"/>
        <w:ind w:left="403" w:hanging="317"/>
      </w:pPr>
      <w:r>
        <w:t>4. Select focus in the source-type filter and click Run Detection for billing-only anomaly detection.</w:t>
      </w:r>
    </w:p>
    <w:p>
      <w:pPr>
        <w:spacing w:line="254" w:lineRule="auto" w:after="80"/>
      </w:pPr>
      <w:r>
        <w:t>FOCUS limitation: FOCUS is billing-only. F1, precision, recall, Top-N precision, and root-cause accuracy are N/A unless ground-truth labels and matching infrastructure events are provided. This is expected and correct.</w:t>
      </w:r>
    </w:p>
    <w:p>
      <w:pPr>
        <w:spacing w:line="254" w:lineRule="auto" w:after="80"/>
      </w:pPr>
      <w:r>
        <w:t>Duplicate warning: FOCUS import appends records. Do not re-import the same file unless duplicates are intended. Use Reset and Rebuild Demo Data when you need a clean reproducible run.</w:t>
      </w:r>
    </w:p>
    <w:p>
      <w:pPr>
        <w:pStyle w:val="Heading1"/>
        <w:spacing w:before="160" w:after="80"/>
      </w:pPr>
      <w:r>
        <w:t>4. Importing Alibaba Trace Data and Building Hybrid Data</w:t>
      </w:r>
    </w:p>
    <w:p>
      <w:pPr>
        <w:spacing w:line="254" w:lineRule="auto" w:after="80"/>
      </w:pPr>
      <w:r>
        <w:t>The project uses Alibaba data as the infrastructure/workload side of the hybrid dataset. The primary supported file is openb_pod_list_default.csv. It is converted into Alibaba-derived workload events such as GPU workload, high resource request, pending workload, and failed workload.</w:t>
      </w:r>
    </w:p>
    <w:p>
      <w:pPr>
        <w:spacing w:line="254" w:lineRule="auto" w:after="80"/>
        <w:ind w:left="403" w:hanging="317"/>
      </w:pPr>
      <w:r>
        <w:t>1. Import FOCUS billing records first.</w:t>
      </w:r>
    </w:p>
    <w:p>
      <w:pPr>
        <w:spacing w:line="254" w:lineRule="auto" w:after="80"/>
        <w:ind w:left="403" w:hanging="317"/>
      </w:pPr>
      <w:r>
        <w:t>2. In Hybrid FOCUS + Alibaba Trace Dataset, use data/alibaba/openb_pod_list_default.csv.</w:t>
      </w:r>
    </w:p>
    <w:p>
      <w:pPr>
        <w:spacing w:line="254" w:lineRule="auto" w:after="80"/>
        <w:ind w:left="403" w:hanging="317"/>
      </w:pPr>
      <w:r>
        <w:t>3. Click Import Alibaba Trace. The importer validates pod rows and projects Alibaba relative timestamps onto the FOCUS billing timeline.</w:t>
      </w:r>
    </w:p>
    <w:p>
      <w:pPr>
        <w:spacing w:line="254" w:lineRule="auto" w:after="80"/>
        <w:ind w:left="403" w:hanging="317"/>
      </w:pPr>
      <w:r>
        <w:t>4. Click Build Hybrid Dataset to create hybrid_synthesized billing records, injected scenarios, linked events, and ground-truth labels.</w:t>
      </w:r>
    </w:p>
    <w:p>
      <w:pPr>
        <w:spacing w:line="254" w:lineRule="auto" w:after="80"/>
        <w:ind w:left="403" w:hanging="317"/>
      </w:pPr>
      <w:r>
        <w:t>5. Review the counters: Alibaba Trace Events Imported, Injected Root-Cause Scenarios, Labeled Injected Records, and Hybrid Billing Records.</w:t>
      </w:r>
    </w:p>
    <w:p>
      <w:pPr>
        <w:spacing w:line="254" w:lineRule="auto" w:after="80"/>
      </w:pPr>
      <w:r>
        <w:t>Important methodology note: FOCUS and Alibaba are independent public datasets. The system does not claim real causality between them. It uses Alibaba trace-derived events to create controlled synthesized root-cause scenarios on top of FOCUS billing records.</w:t>
      </w:r>
    </w:p>
    <w:tbl>
      <w:tblPr>
        <w:tblStyle w:val="TableGrid"/>
        <w:tblW w:type="auto" w:w="0"/>
        <w:jc w:val="center"/>
        <w:tblLook w:firstColumn="1" w:firstRow="1" w:lastColumn="0" w:lastRow="0" w:noHBand="0" w:noVBand="1" w:val="04A0"/>
      </w:tblPr>
      <w:tblGrid>
        <w:gridCol w:w="5040"/>
        <w:gridCol w:w="5040"/>
      </w:tblGrid>
      <w:tr>
        <w:tc>
          <w:tcPr>
            <w:tcW w:type="dxa" w:w="3456"/>
            <w:shd w:fill="1F4E79"/>
            <w:vAlign w:val="top"/>
          </w:tcPr>
          <w:p>
            <w:pPr>
              <w:spacing w:after="40" w:line="240" w:lineRule="auto"/>
            </w:pPr>
            <w:r/>
            <w:r>
              <w:rPr>
                <w:rFonts w:ascii="Aptos" w:hAnsi="Aptos" w:eastAsia="Aptos"/>
                <w:b/>
                <w:color w:val="FFFFFF"/>
                <w:sz w:val="18"/>
              </w:rPr>
              <w:t>Alibaba Event Type</w:t>
            </w:r>
          </w:p>
        </w:tc>
        <w:tc>
          <w:tcPr>
            <w:tcW w:type="dxa" w:w="7344"/>
            <w:shd w:fill="1F4E79"/>
            <w:vAlign w:val="top"/>
          </w:tcPr>
          <w:p>
            <w:pPr>
              <w:spacing w:after="40" w:line="240" w:lineRule="auto"/>
            </w:pPr>
            <w:r/>
            <w:r>
              <w:rPr>
                <w:rFonts w:ascii="Aptos" w:hAnsi="Aptos" w:eastAsia="Aptos"/>
                <w:b/>
                <w:color w:val="FFFFFF"/>
                <w:sz w:val="18"/>
              </w:rPr>
              <w:t>How It Is Used</w:t>
            </w:r>
          </w:p>
        </w:tc>
      </w:tr>
      <w:tr>
        <w:tc>
          <w:tcPr>
            <w:tcW w:type="dxa" w:w="3456"/>
            <w:vAlign w:val="top"/>
          </w:tcPr>
          <w:p>
            <w:pPr>
              <w:spacing w:after="40" w:line="240" w:lineRule="auto"/>
            </w:pPr>
            <w:r/>
            <w:r>
              <w:rPr>
                <w:rFonts w:ascii="Aptos" w:hAnsi="Aptos" w:eastAsia="Aptos"/>
                <w:b w:val="0"/>
                <w:sz w:val="17"/>
              </w:rPr>
              <w:t>K8s_GPU_Workload</w:t>
            </w:r>
          </w:p>
        </w:tc>
        <w:tc>
          <w:tcPr>
            <w:tcW w:type="dxa" w:w="7344"/>
            <w:vAlign w:val="top"/>
          </w:tcPr>
          <w:p>
            <w:pPr>
              <w:spacing w:after="40" w:line="240" w:lineRule="auto"/>
            </w:pPr>
            <w:r/>
            <w:r>
              <w:rPr>
                <w:rFonts w:ascii="Aptos" w:hAnsi="Aptos" w:eastAsia="Aptos"/>
                <w:b w:val="0"/>
                <w:sz w:val="17"/>
              </w:rPr>
              <w:t>Represents GPU-related workload pressure and maps to accelerated/compute-type billing scenarios.</w:t>
            </w:r>
          </w:p>
        </w:tc>
      </w:tr>
      <w:tr>
        <w:tc>
          <w:tcPr>
            <w:tcW w:type="dxa" w:w="3456"/>
            <w:vAlign w:val="top"/>
          </w:tcPr>
          <w:p>
            <w:pPr>
              <w:spacing w:after="40" w:line="240" w:lineRule="auto"/>
            </w:pPr>
            <w:r/>
            <w:r>
              <w:rPr>
                <w:rFonts w:ascii="Aptos" w:hAnsi="Aptos" w:eastAsia="Aptos"/>
                <w:b w:val="0"/>
                <w:sz w:val="17"/>
              </w:rPr>
              <w:t>K8s_High_Resource_Request</w:t>
            </w:r>
          </w:p>
        </w:tc>
        <w:tc>
          <w:tcPr>
            <w:tcW w:type="dxa" w:w="7344"/>
            <w:vAlign w:val="top"/>
          </w:tcPr>
          <w:p>
            <w:pPr>
              <w:spacing w:after="40" w:line="240" w:lineRule="auto"/>
            </w:pPr>
            <w:r/>
            <w:r>
              <w:rPr>
                <w:rFonts w:ascii="Aptos" w:hAnsi="Aptos" w:eastAsia="Aptos"/>
                <w:b w:val="0"/>
                <w:sz w:val="17"/>
              </w:rPr>
              <w:t>Represents high CPU or memory demand and maps to compute/container workload scenarios.</w:t>
            </w:r>
          </w:p>
        </w:tc>
      </w:tr>
      <w:tr>
        <w:tc>
          <w:tcPr>
            <w:tcW w:type="dxa" w:w="3456"/>
            <w:vAlign w:val="top"/>
          </w:tcPr>
          <w:p>
            <w:pPr>
              <w:spacing w:after="40" w:line="240" w:lineRule="auto"/>
            </w:pPr>
            <w:r/>
            <w:r>
              <w:rPr>
                <w:rFonts w:ascii="Aptos" w:hAnsi="Aptos" w:eastAsia="Aptos"/>
                <w:b w:val="0"/>
                <w:sz w:val="17"/>
              </w:rPr>
              <w:t>K8s_Pending_Workload</w:t>
            </w:r>
          </w:p>
        </w:tc>
        <w:tc>
          <w:tcPr>
            <w:tcW w:type="dxa" w:w="7344"/>
            <w:vAlign w:val="top"/>
          </w:tcPr>
          <w:p>
            <w:pPr>
              <w:spacing w:after="40" w:line="240" w:lineRule="auto"/>
            </w:pPr>
            <w:r/>
            <w:r>
              <w:rPr>
                <w:rFonts w:ascii="Aptos" w:hAnsi="Aptos" w:eastAsia="Aptos"/>
                <w:b w:val="0"/>
                <w:sz w:val="17"/>
              </w:rPr>
              <w:t>Represents pending capacity/workload pressure and may map to unused capacity/orphan-resource scenarios.</w:t>
            </w:r>
          </w:p>
        </w:tc>
      </w:tr>
      <w:tr>
        <w:tc>
          <w:tcPr>
            <w:tcW w:type="dxa" w:w="3456"/>
            <w:vAlign w:val="top"/>
          </w:tcPr>
          <w:p>
            <w:pPr>
              <w:spacing w:after="40" w:line="240" w:lineRule="auto"/>
            </w:pPr>
            <w:r/>
            <w:r>
              <w:rPr>
                <w:rFonts w:ascii="Aptos" w:hAnsi="Aptos" w:eastAsia="Aptos"/>
                <w:b w:val="0"/>
                <w:sz w:val="17"/>
              </w:rPr>
              <w:t>K8s_Failed_Workload</w:t>
            </w:r>
          </w:p>
        </w:tc>
        <w:tc>
          <w:tcPr>
            <w:tcW w:type="dxa" w:w="7344"/>
            <w:vAlign w:val="top"/>
          </w:tcPr>
          <w:p>
            <w:pPr>
              <w:spacing w:after="40" w:line="240" w:lineRule="auto"/>
            </w:pPr>
            <w:r/>
            <w:r>
              <w:rPr>
                <w:rFonts w:ascii="Aptos" w:hAnsi="Aptos" w:eastAsia="Aptos"/>
                <w:b w:val="0"/>
                <w:sz w:val="17"/>
              </w:rPr>
              <w:t>Represents failed workload behavior and may map to orphan-resource or capacity-waste scenarios.</w:t>
            </w:r>
          </w:p>
        </w:tc>
      </w:tr>
    </w:tbl>
    <w:p>
      <w:pPr>
        <w:spacing w:line="254" w:lineRule="auto" w:after="80"/>
      </w:pPr>
    </w:p>
    <w:p>
      <w:pPr>
        <w:pStyle w:val="Heading1"/>
        <w:spacing w:before="160" w:after="80"/>
      </w:pPr>
      <w:r>
        <w:t>5. Reset and Rebuild Demo Data</w:t>
      </w:r>
    </w:p>
    <w:p>
      <w:pPr>
        <w:spacing w:line="254" w:lineRule="auto" w:after="80"/>
      </w:pPr>
      <w:r>
        <w:t>Use Reset and Rebuild Demo Data when the database was cleaned/reinstalled or when you want a reproducible run with the same input files, seed, and injection parameters.</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vAlign w:val="top"/>
          </w:tcPr>
          <w:p>
            <w:pPr>
              <w:spacing w:after="40" w:line="240" w:lineRule="auto"/>
            </w:pPr>
            <w:r/>
            <w:r>
              <w:rPr>
                <w:rFonts w:ascii="Aptos" w:hAnsi="Aptos" w:eastAsia="Aptos"/>
                <w:b/>
                <w:color w:val="FFFFFF"/>
                <w:sz w:val="18"/>
              </w:rPr>
              <w:t>Parameter</w:t>
            </w:r>
          </w:p>
        </w:tc>
        <w:tc>
          <w:tcPr>
            <w:tcW w:type="dxa" w:w="2448"/>
            <w:shd w:fill="1F4E79"/>
            <w:vAlign w:val="top"/>
          </w:tcPr>
          <w:p>
            <w:pPr>
              <w:spacing w:after="40" w:line="240" w:lineRule="auto"/>
            </w:pPr>
            <w:r/>
            <w:r>
              <w:rPr>
                <w:rFonts w:ascii="Aptos" w:hAnsi="Aptos" w:eastAsia="Aptos"/>
                <w:b/>
                <w:color w:val="FFFFFF"/>
                <w:sz w:val="18"/>
              </w:rPr>
              <w:t>Recommended Value</w:t>
            </w:r>
          </w:p>
        </w:tc>
        <w:tc>
          <w:tcPr>
            <w:tcW w:type="dxa" w:w="5184"/>
            <w:shd w:fill="1F4E79"/>
            <w:vAlign w:val="top"/>
          </w:tcPr>
          <w:p>
            <w:pPr>
              <w:spacing w:after="40" w:line="240" w:lineRule="auto"/>
            </w:pPr>
            <w:r/>
            <w:r>
              <w:rPr>
                <w:rFonts w:ascii="Aptos" w:hAnsi="Aptos" w:eastAsia="Aptos"/>
                <w:b/>
                <w:color w:val="FFFFFF"/>
                <w:sz w:val="18"/>
              </w:rPr>
              <w:t>Meaning</w:t>
            </w:r>
          </w:p>
        </w:tc>
      </w:tr>
      <w:tr>
        <w:tc>
          <w:tcPr>
            <w:tcW w:type="dxa" w:w="3168"/>
            <w:vAlign w:val="top"/>
          </w:tcPr>
          <w:p>
            <w:pPr>
              <w:spacing w:after="40" w:line="240" w:lineRule="auto"/>
            </w:pPr>
            <w:r/>
            <w:r>
              <w:rPr>
                <w:rFonts w:ascii="Aptos" w:hAnsi="Aptos" w:eastAsia="Aptos"/>
                <w:b w:val="0"/>
                <w:sz w:val="16"/>
              </w:rPr>
              <w:t>FOCUS CSV path</w:t>
            </w:r>
          </w:p>
        </w:tc>
        <w:tc>
          <w:tcPr>
            <w:tcW w:type="dxa" w:w="2448"/>
            <w:vAlign w:val="top"/>
          </w:tcPr>
          <w:p>
            <w:pPr>
              <w:spacing w:after="40" w:line="240" w:lineRule="auto"/>
            </w:pPr>
            <w:r/>
            <w:r>
              <w:rPr>
                <w:rFonts w:ascii="Aptos" w:hAnsi="Aptos" w:eastAsia="Aptos"/>
                <w:b w:val="0"/>
                <w:sz w:val="16"/>
              </w:rPr>
              <w:t>data/focus-sample/sample.csv</w:t>
            </w:r>
          </w:p>
        </w:tc>
        <w:tc>
          <w:tcPr>
            <w:tcW w:type="dxa" w:w="5184"/>
            <w:vAlign w:val="top"/>
          </w:tcPr>
          <w:p>
            <w:pPr>
              <w:spacing w:after="40" w:line="240" w:lineRule="auto"/>
            </w:pPr>
            <w:r/>
            <w:r>
              <w:rPr>
                <w:rFonts w:ascii="Aptos" w:hAnsi="Aptos" w:eastAsia="Aptos"/>
                <w:b w:val="0"/>
                <w:sz w:val="16"/>
              </w:rPr>
              <w:t>Billing baseline to import.</w:t>
            </w:r>
          </w:p>
        </w:tc>
      </w:tr>
      <w:tr>
        <w:tc>
          <w:tcPr>
            <w:tcW w:type="dxa" w:w="3168"/>
            <w:vAlign w:val="top"/>
          </w:tcPr>
          <w:p>
            <w:pPr>
              <w:spacing w:after="40" w:line="240" w:lineRule="auto"/>
            </w:pPr>
            <w:r/>
            <w:r>
              <w:rPr>
                <w:rFonts w:ascii="Aptos" w:hAnsi="Aptos" w:eastAsia="Aptos"/>
                <w:b w:val="0"/>
                <w:sz w:val="16"/>
              </w:rPr>
              <w:t>Alibaba CSV path</w:t>
            </w:r>
          </w:p>
        </w:tc>
        <w:tc>
          <w:tcPr>
            <w:tcW w:type="dxa" w:w="2448"/>
            <w:vAlign w:val="top"/>
          </w:tcPr>
          <w:p>
            <w:pPr>
              <w:spacing w:after="40" w:line="240" w:lineRule="auto"/>
            </w:pPr>
            <w:r/>
            <w:r>
              <w:rPr>
                <w:rFonts w:ascii="Aptos" w:hAnsi="Aptos" w:eastAsia="Aptos"/>
                <w:b w:val="0"/>
                <w:sz w:val="16"/>
              </w:rPr>
              <w:t>data/alibaba/openb_pod_list_default.csv</w:t>
            </w:r>
          </w:p>
        </w:tc>
        <w:tc>
          <w:tcPr>
            <w:tcW w:type="dxa" w:w="5184"/>
            <w:vAlign w:val="top"/>
          </w:tcPr>
          <w:p>
            <w:pPr>
              <w:spacing w:after="40" w:line="240" w:lineRule="auto"/>
            </w:pPr>
            <w:r/>
            <w:r>
              <w:rPr>
                <w:rFonts w:ascii="Aptos" w:hAnsi="Aptos" w:eastAsia="Aptos"/>
                <w:b w:val="0"/>
                <w:sz w:val="16"/>
              </w:rPr>
              <w:t>Pod trace/workload source.</w:t>
            </w:r>
          </w:p>
        </w:tc>
      </w:tr>
      <w:tr>
        <w:tc>
          <w:tcPr>
            <w:tcW w:type="dxa" w:w="3168"/>
            <w:vAlign w:val="top"/>
          </w:tcPr>
          <w:p>
            <w:pPr>
              <w:spacing w:after="40" w:line="240" w:lineRule="auto"/>
            </w:pPr>
            <w:r/>
            <w:r>
              <w:rPr>
                <w:rFonts w:ascii="Aptos" w:hAnsi="Aptos" w:eastAsia="Aptos"/>
                <w:b w:val="0"/>
                <w:sz w:val="16"/>
              </w:rPr>
              <w:t>Seed</w:t>
            </w:r>
          </w:p>
        </w:tc>
        <w:tc>
          <w:tcPr>
            <w:tcW w:type="dxa" w:w="2448"/>
            <w:vAlign w:val="top"/>
          </w:tcPr>
          <w:p>
            <w:pPr>
              <w:spacing w:after="40" w:line="240" w:lineRule="auto"/>
            </w:pPr>
            <w:r/>
            <w:r>
              <w:rPr>
                <w:rFonts w:ascii="Aptos" w:hAnsi="Aptos" w:eastAsia="Aptos"/>
                <w:b w:val="0"/>
                <w:sz w:val="16"/>
              </w:rPr>
              <w:t>42</w:t>
            </w:r>
          </w:p>
        </w:tc>
        <w:tc>
          <w:tcPr>
            <w:tcW w:type="dxa" w:w="5184"/>
            <w:vAlign w:val="top"/>
          </w:tcPr>
          <w:p>
            <w:pPr>
              <w:spacing w:after="40" w:line="240" w:lineRule="auto"/>
            </w:pPr>
            <w:r/>
            <w:r>
              <w:rPr>
                <w:rFonts w:ascii="Aptos" w:hAnsi="Aptos" w:eastAsia="Aptos"/>
                <w:b w:val="0"/>
                <w:sz w:val="16"/>
              </w:rPr>
              <w:t>Makes the rebuild reproducible. Same files + same seed + same parameters should produce the same injected scenarios.</w:t>
            </w:r>
          </w:p>
        </w:tc>
      </w:tr>
      <w:tr>
        <w:tc>
          <w:tcPr>
            <w:tcW w:type="dxa" w:w="3168"/>
            <w:vAlign w:val="top"/>
          </w:tcPr>
          <w:p>
            <w:pPr>
              <w:spacing w:after="40" w:line="240" w:lineRule="auto"/>
            </w:pPr>
            <w:r/>
            <w:r>
              <w:rPr>
                <w:rFonts w:ascii="Aptos" w:hAnsi="Aptos" w:eastAsia="Aptos"/>
                <w:b w:val="0"/>
                <w:sz w:val="16"/>
              </w:rPr>
              <w:t>Injected scenarios</w:t>
            </w:r>
          </w:p>
        </w:tc>
        <w:tc>
          <w:tcPr>
            <w:tcW w:type="dxa" w:w="2448"/>
            <w:vAlign w:val="top"/>
          </w:tcPr>
          <w:p>
            <w:pPr>
              <w:spacing w:after="40" w:line="240" w:lineRule="auto"/>
            </w:pPr>
            <w:r/>
            <w:r>
              <w:rPr>
                <w:rFonts w:ascii="Aptos" w:hAnsi="Aptos" w:eastAsia="Aptos"/>
                <w:b w:val="0"/>
                <w:sz w:val="16"/>
              </w:rPr>
              <w:t>40-60 recommended</w:t>
            </w:r>
          </w:p>
        </w:tc>
        <w:tc>
          <w:tcPr>
            <w:tcW w:type="dxa" w:w="5184"/>
            <w:vAlign w:val="top"/>
          </w:tcPr>
          <w:p>
            <w:pPr>
              <w:spacing w:after="40" w:line="240" w:lineRule="auto"/>
            </w:pPr>
            <w:r/>
            <w:r>
              <w:rPr>
                <w:rFonts w:ascii="Aptos" w:hAnsi="Aptos" w:eastAsia="Aptos"/>
                <w:b w:val="0"/>
                <w:sz w:val="16"/>
              </w:rPr>
              <w:t>Number of requested Alibaba-derived root-cause scenarios. Higher values create more labels but may make the dataset more synthetic.</w:t>
            </w:r>
          </w:p>
        </w:tc>
      </w:tr>
      <w:tr>
        <w:tc>
          <w:tcPr>
            <w:tcW w:type="dxa" w:w="3168"/>
            <w:vAlign w:val="top"/>
          </w:tcPr>
          <w:p>
            <w:pPr>
              <w:spacing w:after="40" w:line="240" w:lineRule="auto"/>
            </w:pPr>
            <w:r/>
            <w:r>
              <w:rPr>
                <w:rFonts w:ascii="Aptos" w:hAnsi="Aptos" w:eastAsia="Aptos"/>
                <w:b w:val="0"/>
                <w:sz w:val="16"/>
              </w:rPr>
              <w:t>Time window hours</w:t>
            </w:r>
          </w:p>
        </w:tc>
        <w:tc>
          <w:tcPr>
            <w:tcW w:type="dxa" w:w="2448"/>
            <w:vAlign w:val="top"/>
          </w:tcPr>
          <w:p>
            <w:pPr>
              <w:spacing w:after="40" w:line="240" w:lineRule="auto"/>
            </w:pPr>
            <w:r/>
            <w:r>
              <w:rPr>
                <w:rFonts w:ascii="Aptos" w:hAnsi="Aptos" w:eastAsia="Aptos"/>
                <w:b w:val="0"/>
                <w:sz w:val="16"/>
              </w:rPr>
              <w:t>4</w:t>
            </w:r>
          </w:p>
        </w:tc>
        <w:tc>
          <w:tcPr>
            <w:tcW w:type="dxa" w:w="5184"/>
            <w:vAlign w:val="top"/>
          </w:tcPr>
          <w:p>
            <w:pPr>
              <w:spacing w:after="40" w:line="240" w:lineRule="auto"/>
            </w:pPr>
            <w:r/>
            <w:r>
              <w:rPr>
                <w:rFonts w:ascii="Aptos" w:hAnsi="Aptos" w:eastAsia="Aptos"/>
                <w:b w:val="0"/>
                <w:sz w:val="16"/>
              </w:rPr>
              <w:t>Controls how long each injected incident window lasts.</w:t>
            </w:r>
          </w:p>
        </w:tc>
      </w:tr>
      <w:tr>
        <w:tc>
          <w:tcPr>
            <w:tcW w:type="dxa" w:w="3168"/>
            <w:vAlign w:val="top"/>
          </w:tcPr>
          <w:p>
            <w:pPr>
              <w:spacing w:after="40" w:line="240" w:lineRule="auto"/>
            </w:pPr>
            <w:r/>
            <w:r>
              <w:rPr>
                <w:rFonts w:ascii="Aptos" w:hAnsi="Aptos" w:eastAsia="Aptos"/>
                <w:b w:val="0"/>
                <w:sz w:val="16"/>
              </w:rPr>
              <w:t>Min baseline cost</w:t>
            </w:r>
          </w:p>
        </w:tc>
        <w:tc>
          <w:tcPr>
            <w:tcW w:type="dxa" w:w="2448"/>
            <w:vAlign w:val="top"/>
          </w:tcPr>
          <w:p>
            <w:pPr>
              <w:spacing w:after="40" w:line="240" w:lineRule="auto"/>
            </w:pPr>
            <w:r/>
            <w:r>
              <w:rPr>
                <w:rFonts w:ascii="Aptos" w:hAnsi="Aptos" w:eastAsia="Aptos"/>
                <w:b w:val="0"/>
                <w:sz w:val="16"/>
              </w:rPr>
              <w:t>1.0</w:t>
            </w:r>
          </w:p>
        </w:tc>
        <w:tc>
          <w:tcPr>
            <w:tcW w:type="dxa" w:w="5184"/>
            <w:vAlign w:val="top"/>
          </w:tcPr>
          <w:p>
            <w:pPr>
              <w:spacing w:after="40" w:line="240" w:lineRule="auto"/>
            </w:pPr>
            <w:r/>
            <w:r>
              <w:rPr>
                <w:rFonts w:ascii="Aptos" w:hAnsi="Aptos" w:eastAsia="Aptos"/>
                <w:b w:val="0"/>
                <w:sz w:val="16"/>
              </w:rPr>
              <w:t>Avoids injecting into near-zero cost records.</w:t>
            </w:r>
          </w:p>
        </w:tc>
      </w:tr>
      <w:tr>
        <w:tc>
          <w:tcPr>
            <w:tcW w:type="dxa" w:w="3168"/>
            <w:vAlign w:val="top"/>
          </w:tcPr>
          <w:p>
            <w:pPr>
              <w:spacing w:after="40" w:line="240" w:lineRule="auto"/>
            </w:pPr>
            <w:r/>
            <w:r>
              <w:rPr>
                <w:rFonts w:ascii="Aptos" w:hAnsi="Aptos" w:eastAsia="Aptos"/>
                <w:b w:val="0"/>
                <w:sz w:val="16"/>
              </w:rPr>
              <w:t>Cost multiplier min/max</w:t>
            </w:r>
          </w:p>
        </w:tc>
        <w:tc>
          <w:tcPr>
            <w:tcW w:type="dxa" w:w="2448"/>
            <w:vAlign w:val="top"/>
          </w:tcPr>
          <w:p>
            <w:pPr>
              <w:spacing w:after="40" w:line="240" w:lineRule="auto"/>
            </w:pPr>
            <w:r/>
            <w:r>
              <w:rPr>
                <w:rFonts w:ascii="Aptos" w:hAnsi="Aptos" w:eastAsia="Aptos"/>
                <w:b w:val="0"/>
                <w:sz w:val="16"/>
              </w:rPr>
              <w:t>3 and 6</w:t>
            </w:r>
          </w:p>
        </w:tc>
        <w:tc>
          <w:tcPr>
            <w:tcW w:type="dxa" w:w="5184"/>
            <w:vAlign w:val="top"/>
          </w:tcPr>
          <w:p>
            <w:pPr>
              <w:spacing w:after="40" w:line="240" w:lineRule="auto"/>
            </w:pPr>
            <w:r/>
            <w:r>
              <w:rPr>
                <w:rFonts w:ascii="Aptos" w:hAnsi="Aptos" w:eastAsia="Aptos"/>
                <w:b w:val="0"/>
                <w:sz w:val="16"/>
              </w:rPr>
              <w:t>Controls injected cost increase magnitude.</w:t>
            </w:r>
          </w:p>
        </w:tc>
      </w:tr>
      <w:tr>
        <w:tc>
          <w:tcPr>
            <w:tcW w:type="dxa" w:w="3168"/>
            <w:vAlign w:val="top"/>
          </w:tcPr>
          <w:p>
            <w:pPr>
              <w:spacing w:after="40" w:line="240" w:lineRule="auto"/>
            </w:pPr>
            <w:r/>
            <w:r>
              <w:rPr>
                <w:rFonts w:ascii="Aptos" w:hAnsi="Aptos" w:eastAsia="Aptos"/>
                <w:b w:val="0"/>
                <w:sz w:val="16"/>
              </w:rPr>
              <w:t>Run detection</w:t>
            </w:r>
          </w:p>
        </w:tc>
        <w:tc>
          <w:tcPr>
            <w:tcW w:type="dxa" w:w="2448"/>
            <w:vAlign w:val="top"/>
          </w:tcPr>
          <w:p>
            <w:pPr>
              <w:spacing w:after="40" w:line="240" w:lineRule="auto"/>
            </w:pPr>
            <w:r/>
            <w:r>
              <w:rPr>
                <w:rFonts w:ascii="Aptos" w:hAnsi="Aptos" w:eastAsia="Aptos"/>
                <w:b w:val="0"/>
                <w:sz w:val="16"/>
              </w:rPr>
              <w:t>Checked</w:t>
            </w:r>
          </w:p>
        </w:tc>
        <w:tc>
          <w:tcPr>
            <w:tcW w:type="dxa" w:w="5184"/>
            <w:vAlign w:val="top"/>
          </w:tcPr>
          <w:p>
            <w:pPr>
              <w:spacing w:after="40" w:line="240" w:lineRule="auto"/>
            </w:pPr>
            <w:r/>
            <w:r>
              <w:rPr>
                <w:rFonts w:ascii="Aptos" w:hAnsi="Aptos" w:eastAsia="Aptos"/>
                <w:b w:val="0"/>
                <w:sz w:val="16"/>
              </w:rPr>
              <w:t>Runs Isolation Forest after rebuild.</w:t>
            </w:r>
          </w:p>
        </w:tc>
      </w:tr>
      <w:tr>
        <w:tc>
          <w:tcPr>
            <w:tcW w:type="dxa" w:w="3168"/>
            <w:vAlign w:val="top"/>
          </w:tcPr>
          <w:p>
            <w:pPr>
              <w:spacing w:after="40" w:line="240" w:lineRule="auto"/>
            </w:pPr>
            <w:r/>
            <w:r>
              <w:rPr>
                <w:rFonts w:ascii="Aptos" w:hAnsi="Aptos" w:eastAsia="Aptos"/>
                <w:b w:val="0"/>
                <w:sz w:val="16"/>
              </w:rPr>
              <w:t>Attribute true positives</w:t>
            </w:r>
          </w:p>
        </w:tc>
        <w:tc>
          <w:tcPr>
            <w:tcW w:type="dxa" w:w="2448"/>
            <w:vAlign w:val="top"/>
          </w:tcPr>
          <w:p>
            <w:pPr>
              <w:spacing w:after="40" w:line="240" w:lineRule="auto"/>
            </w:pPr>
            <w:r/>
            <w:r>
              <w:rPr>
                <w:rFonts w:ascii="Aptos" w:hAnsi="Aptos" w:eastAsia="Aptos"/>
                <w:b w:val="0"/>
                <w:sz w:val="16"/>
              </w:rPr>
              <w:t>Checked</w:t>
            </w:r>
          </w:p>
        </w:tc>
        <w:tc>
          <w:tcPr>
            <w:tcW w:type="dxa" w:w="5184"/>
            <w:vAlign w:val="top"/>
          </w:tcPr>
          <w:p>
            <w:pPr>
              <w:spacing w:after="40" w:line="240" w:lineRule="auto"/>
            </w:pPr>
            <w:r/>
            <w:r>
              <w:rPr>
                <w:rFonts w:ascii="Aptos" w:hAnsi="Aptos" w:eastAsia="Aptos"/>
                <w:b w:val="0"/>
                <w:sz w:val="16"/>
              </w:rPr>
              <w:t>Runs attribution only for detected true-positive anomalies.</w:t>
            </w:r>
          </w:p>
        </w:tc>
      </w:tr>
    </w:tbl>
    <w:p>
      <w:pPr>
        <w:spacing w:line="254" w:lineRule="auto" w:after="80"/>
      </w:pPr>
    </w:p>
    <w:p>
      <w:pPr>
        <w:spacing w:line="254" w:lineRule="auto" w:after="80"/>
      </w:pPr>
      <w:r>
        <w:t>Requested vs actual injected scenarios: the requested scenario count is a target. The actual injected scenario count may be lower because the builder applies defensible eligibility filters: compatible service mapping, non-NULL region, sufficient baseline cost, sufficient history, and no duplicate/conflicting windows. This is normal and should not be treated as an error.</w:t>
      </w:r>
    </w:p>
    <w:p>
      <w:pPr>
        <w:spacing w:line="254" w:lineRule="auto" w:after="80"/>
        <w:ind w:left="403" w:hanging="317"/>
      </w:pPr>
      <w:r>
        <w:t>1. Set paths, seed, injected scenarios, time window, min baseline cost, and multiplier range.</w:t>
      </w:r>
    </w:p>
    <w:p>
      <w:pPr>
        <w:spacing w:line="254" w:lineRule="auto" w:after="80"/>
        <w:ind w:left="403" w:hanging="317"/>
      </w:pPr>
      <w:r>
        <w:t>2. Keep Run detection and Attribute true positives checked for a full demo rebuild.</w:t>
      </w:r>
    </w:p>
    <w:p>
      <w:pPr>
        <w:spacing w:line="254" w:lineRule="auto" w:after="80"/>
        <w:ind w:left="403" w:hanging="317"/>
      </w:pPr>
      <w:r>
        <w:t>3. Click Reset and Rebuild Demo Data.</w:t>
      </w:r>
    </w:p>
    <w:p>
      <w:pPr>
        <w:spacing w:line="254" w:lineRule="auto" w:after="80"/>
        <w:ind w:left="403" w:hanging="317"/>
      </w:pPr>
      <w:r>
        <w:t>4. After completion, review Build Run ID, seed, requested scenarios, actual injected scenarios, labeled injected records, FOCUS rows, Alibaba events, hybrid records, and metrics.</w:t>
      </w:r>
    </w:p>
    <w:p>
      <w:pPr>
        <w:spacing w:line="254" w:lineRule="auto" w:after="80"/>
        <w:jc w:val="center"/>
      </w:pPr>
      <w:r>
        <w:drawing>
          <wp:inline xmlns:a="http://schemas.openxmlformats.org/drawingml/2006/main" xmlns:pic="http://schemas.openxmlformats.org/drawingml/2006/picture">
            <wp:extent cx="5989320" cy="6060200"/>
            <wp:docPr id="1" name="Picture 1"/>
            <wp:cNvGraphicFramePr>
              <a:graphicFrameLocks noChangeAspect="1"/>
            </wp:cNvGraphicFramePr>
            <a:graphic>
              <a:graphicData uri="http://schemas.openxmlformats.org/drawingml/2006/picture">
                <pic:pic>
                  <pic:nvPicPr>
                    <pic:cNvPr id="0" name="Screenshot 2026-06-17 at 10.20.13.png"/>
                    <pic:cNvPicPr/>
                  </pic:nvPicPr>
                  <pic:blipFill>
                    <a:blip r:embed="rId11"/>
                    <a:stretch>
                      <a:fillRect/>
                    </a:stretch>
                  </pic:blipFill>
                  <pic:spPr>
                    <a:xfrm>
                      <a:off x="0" y="0"/>
                      <a:ext cx="5989320" cy="6060200"/>
                    </a:xfrm>
                    <a:prstGeom prst="rect"/>
                  </pic:spPr>
                </pic:pic>
              </a:graphicData>
            </a:graphic>
          </wp:inline>
        </w:drawing>
      </w:r>
    </w:p>
    <w:p>
      <w:pPr>
        <w:spacing w:line="254" w:lineRule="auto" w:after="80"/>
        <w:jc w:val="center"/>
      </w:pPr>
      <w:r>
        <w:rPr>
          <w:i/>
          <w:color w:val="5A5A5A"/>
          <w:sz w:val="17"/>
        </w:rPr>
        <w:t>Figure 1. Reset and Rebuild Demo Data panel with configurable injected scenarios and reproducible seed settings.</w:t>
      </w:r>
    </w:p>
    <w:p>
      <w:pPr>
        <w:pStyle w:val="Heading1"/>
        <w:spacing w:before="160" w:after="80"/>
      </w:pPr>
      <w:r>
        <w:t>6. Running Hybrid Detection and Evaluation</w:t>
      </w:r>
    </w:p>
    <w:p>
      <w:pPr>
        <w:spacing w:line="254" w:lineRule="auto" w:after="80"/>
        <w:ind w:left="403" w:hanging="317"/>
      </w:pPr>
      <w:r>
        <w:t>1. Select hybrid_synthesized in the source-type filter.</w:t>
      </w:r>
    </w:p>
    <w:p>
      <w:pPr>
        <w:spacing w:line="254" w:lineRule="auto" w:after="80"/>
        <w:ind w:left="403" w:hanging="317"/>
      </w:pPr>
      <w:r>
        <w:t>2. Click Run Detection if it was not already run during reset/rebuild.</w:t>
      </w:r>
    </w:p>
    <w:p>
      <w:pPr>
        <w:spacing w:line="254" w:lineRule="auto" w:after="80"/>
        <w:ind w:left="403" w:hanging="317"/>
      </w:pPr>
      <w:r>
        <w:t>3. Review Matching Records, Injected Root-Cause Events, Detected Anomalies, and Source F1 Score.</w:t>
      </w:r>
    </w:p>
    <w:p>
      <w:pPr>
        <w:spacing w:line="254" w:lineRule="auto" w:after="80"/>
        <w:ind w:left="403" w:hanging="317"/>
      </w:pPr>
      <w:r>
        <w:t>4. In Detection Evaluation, review precision, recall, F1, Top-N precision, confusion matrix, selected threshold, and post-filter settings.</w:t>
      </w:r>
    </w:p>
    <w:p>
      <w:pPr>
        <w:spacing w:line="254" w:lineRule="auto" w:after="80"/>
        <w:ind w:left="403" w:hanging="317"/>
      </w:pPr>
      <w:r>
        <w:t>5. Use the anomaly table to identify true-positive and false-positive detections.</w:t>
      </w:r>
    </w:p>
    <w:tbl>
      <w:tblPr>
        <w:tblStyle w:val="TableGrid"/>
        <w:tblW w:type="auto" w:w="0"/>
        <w:jc w:val="center"/>
        <w:tblLook w:firstColumn="1" w:firstRow="1" w:lastColumn="0" w:lastRow="0" w:noHBand="0" w:noVBand="1" w:val="04A0"/>
      </w:tblPr>
      <w:tblGrid>
        <w:gridCol w:w="5040"/>
        <w:gridCol w:w="5040"/>
      </w:tblGrid>
      <w:tr>
        <w:tc>
          <w:tcPr>
            <w:tcW w:type="dxa" w:w="3456"/>
            <w:shd w:fill="1F4E79"/>
            <w:vAlign w:val="top"/>
          </w:tcPr>
          <w:p>
            <w:pPr>
              <w:spacing w:after="40" w:line="240" w:lineRule="auto"/>
            </w:pPr>
            <w:r/>
            <w:r>
              <w:rPr>
                <w:rFonts w:ascii="Aptos" w:hAnsi="Aptos" w:eastAsia="Aptos"/>
                <w:b/>
                <w:color w:val="FFFFFF"/>
                <w:sz w:val="18"/>
              </w:rPr>
              <w:t>Metric</w:t>
            </w:r>
          </w:p>
        </w:tc>
        <w:tc>
          <w:tcPr>
            <w:tcW w:type="dxa" w:w="7344"/>
            <w:shd w:fill="1F4E79"/>
            <w:vAlign w:val="top"/>
          </w:tcPr>
          <w:p>
            <w:pPr>
              <w:spacing w:after="40" w:line="240" w:lineRule="auto"/>
            </w:pPr>
            <w:r/>
            <w:r>
              <w:rPr>
                <w:rFonts w:ascii="Aptos" w:hAnsi="Aptos" w:eastAsia="Aptos"/>
                <w:b/>
                <w:color w:val="FFFFFF"/>
                <w:sz w:val="18"/>
              </w:rPr>
              <w:t>How to Interpret It</w:t>
            </w:r>
          </w:p>
        </w:tc>
      </w:tr>
      <w:tr>
        <w:tc>
          <w:tcPr>
            <w:tcW w:type="dxa" w:w="3456"/>
            <w:vAlign w:val="top"/>
          </w:tcPr>
          <w:p>
            <w:pPr>
              <w:spacing w:after="40" w:line="240" w:lineRule="auto"/>
            </w:pPr>
            <w:r/>
            <w:r>
              <w:rPr>
                <w:rFonts w:ascii="Aptos" w:hAnsi="Aptos" w:eastAsia="Aptos"/>
                <w:b w:val="0"/>
                <w:sz w:val="17"/>
              </w:rPr>
              <w:t>Precision</w:t>
            </w:r>
          </w:p>
        </w:tc>
        <w:tc>
          <w:tcPr>
            <w:tcW w:type="dxa" w:w="7344"/>
            <w:vAlign w:val="top"/>
          </w:tcPr>
          <w:p>
            <w:pPr>
              <w:spacing w:after="40" w:line="240" w:lineRule="auto"/>
            </w:pPr>
            <w:r/>
            <w:r>
              <w:rPr>
                <w:rFonts w:ascii="Aptos" w:hAnsi="Aptos" w:eastAsia="Aptos"/>
                <w:b w:val="0"/>
                <w:sz w:val="17"/>
              </w:rPr>
              <w:t>Of the detected anomalies, how many are real injected anomalies. High precision means fewer false alarms.</w:t>
            </w:r>
          </w:p>
        </w:tc>
      </w:tr>
      <w:tr>
        <w:tc>
          <w:tcPr>
            <w:tcW w:type="dxa" w:w="3456"/>
            <w:vAlign w:val="top"/>
          </w:tcPr>
          <w:p>
            <w:pPr>
              <w:spacing w:after="40" w:line="240" w:lineRule="auto"/>
            </w:pPr>
            <w:r/>
            <w:r>
              <w:rPr>
                <w:rFonts w:ascii="Aptos" w:hAnsi="Aptos" w:eastAsia="Aptos"/>
                <w:b w:val="0"/>
                <w:sz w:val="17"/>
              </w:rPr>
              <w:t>Recall</w:t>
            </w:r>
          </w:p>
        </w:tc>
        <w:tc>
          <w:tcPr>
            <w:tcW w:type="dxa" w:w="7344"/>
            <w:vAlign w:val="top"/>
          </w:tcPr>
          <w:p>
            <w:pPr>
              <w:spacing w:after="40" w:line="240" w:lineRule="auto"/>
            </w:pPr>
            <w:r/>
            <w:r>
              <w:rPr>
                <w:rFonts w:ascii="Aptos" w:hAnsi="Aptos" w:eastAsia="Aptos"/>
                <w:b w:val="0"/>
                <w:sz w:val="17"/>
              </w:rPr>
              <w:t>Of the injected anomaly records, how many were detected. Lower recall means the detector is conservative.</w:t>
            </w:r>
          </w:p>
        </w:tc>
      </w:tr>
      <w:tr>
        <w:tc>
          <w:tcPr>
            <w:tcW w:type="dxa" w:w="3456"/>
            <w:vAlign w:val="top"/>
          </w:tcPr>
          <w:p>
            <w:pPr>
              <w:spacing w:after="40" w:line="240" w:lineRule="auto"/>
            </w:pPr>
            <w:r/>
            <w:r>
              <w:rPr>
                <w:rFonts w:ascii="Aptos" w:hAnsi="Aptos" w:eastAsia="Aptos"/>
                <w:b w:val="0"/>
                <w:sz w:val="17"/>
              </w:rPr>
              <w:t>F1 Score</w:t>
            </w:r>
          </w:p>
        </w:tc>
        <w:tc>
          <w:tcPr>
            <w:tcW w:type="dxa" w:w="7344"/>
            <w:vAlign w:val="top"/>
          </w:tcPr>
          <w:p>
            <w:pPr>
              <w:spacing w:after="40" w:line="240" w:lineRule="auto"/>
            </w:pPr>
            <w:r/>
            <w:r>
              <w:rPr>
                <w:rFonts w:ascii="Aptos" w:hAnsi="Aptos" w:eastAsia="Aptos"/>
                <w:b w:val="0"/>
                <w:sz w:val="17"/>
              </w:rPr>
              <w:t>Balance between precision and recall.</w:t>
            </w:r>
          </w:p>
        </w:tc>
      </w:tr>
      <w:tr>
        <w:tc>
          <w:tcPr>
            <w:tcW w:type="dxa" w:w="3456"/>
            <w:vAlign w:val="top"/>
          </w:tcPr>
          <w:p>
            <w:pPr>
              <w:spacing w:after="40" w:line="240" w:lineRule="auto"/>
            </w:pPr>
            <w:r/>
            <w:r>
              <w:rPr>
                <w:rFonts w:ascii="Aptos" w:hAnsi="Aptos" w:eastAsia="Aptos"/>
                <w:b w:val="0"/>
                <w:sz w:val="17"/>
              </w:rPr>
              <w:t>Top-10 / Top-20 / Top-50 Precision</w:t>
            </w:r>
          </w:p>
        </w:tc>
        <w:tc>
          <w:tcPr>
            <w:tcW w:type="dxa" w:w="7344"/>
            <w:vAlign w:val="top"/>
          </w:tcPr>
          <w:p>
            <w:pPr>
              <w:spacing w:after="40" w:line="240" w:lineRule="auto"/>
            </w:pPr>
            <w:r/>
            <w:r>
              <w:rPr>
                <w:rFonts w:ascii="Aptos" w:hAnsi="Aptos" w:eastAsia="Aptos"/>
                <w:b w:val="0"/>
                <w:sz w:val="17"/>
              </w:rPr>
              <w:t>Quality of the ranked anomaly list when an operator inspects the most severe anomalies first.</w:t>
            </w:r>
          </w:p>
        </w:tc>
      </w:tr>
      <w:tr>
        <w:tc>
          <w:tcPr>
            <w:tcW w:type="dxa" w:w="3456"/>
            <w:vAlign w:val="top"/>
          </w:tcPr>
          <w:p>
            <w:pPr>
              <w:spacing w:after="40" w:line="240" w:lineRule="auto"/>
            </w:pPr>
            <w:r/>
            <w:r>
              <w:rPr>
                <w:rFonts w:ascii="Aptos" w:hAnsi="Aptos" w:eastAsia="Aptos"/>
                <w:b w:val="0"/>
                <w:sz w:val="17"/>
              </w:rPr>
              <w:t>Root-cause Top-1</w:t>
            </w:r>
          </w:p>
        </w:tc>
        <w:tc>
          <w:tcPr>
            <w:tcW w:type="dxa" w:w="7344"/>
            <w:vAlign w:val="top"/>
          </w:tcPr>
          <w:p>
            <w:pPr>
              <w:spacing w:after="40" w:line="240" w:lineRule="auto"/>
            </w:pPr>
            <w:r/>
            <w:r>
              <w:rPr>
                <w:rFonts w:ascii="Aptos" w:hAnsi="Aptos" w:eastAsia="Aptos"/>
                <w:b w:val="0"/>
                <w:sz w:val="17"/>
              </w:rPr>
              <w:t>For true-positive detections, how often the top-ranked candidate matches the expected Alibaba-derived event/cause.</w:t>
            </w:r>
          </w:p>
        </w:tc>
      </w:tr>
      <w:tr>
        <w:tc>
          <w:tcPr>
            <w:tcW w:type="dxa" w:w="3456"/>
            <w:vAlign w:val="top"/>
          </w:tcPr>
          <w:p>
            <w:pPr>
              <w:spacing w:after="40" w:line="240" w:lineRule="auto"/>
            </w:pPr>
            <w:r/>
            <w:r>
              <w:rPr>
                <w:rFonts w:ascii="Aptos" w:hAnsi="Aptos" w:eastAsia="Aptos"/>
                <w:b w:val="0"/>
                <w:sz w:val="17"/>
              </w:rPr>
              <w:t>Detected / Labeled</w:t>
            </w:r>
          </w:p>
        </w:tc>
        <w:tc>
          <w:tcPr>
            <w:tcW w:type="dxa" w:w="7344"/>
            <w:vAlign w:val="top"/>
          </w:tcPr>
          <w:p>
            <w:pPr>
              <w:spacing w:after="40" w:line="240" w:lineRule="auto"/>
            </w:pPr>
            <w:r/>
            <w:r>
              <w:rPr>
                <w:rFonts w:ascii="Aptos" w:hAnsi="Aptos" w:eastAsia="Aptos"/>
                <w:b w:val="0"/>
                <w:sz w:val="17"/>
              </w:rPr>
              <w:t>Detected anomaly count compared with total labeled injected anomaly records.</w:t>
            </w:r>
          </w:p>
        </w:tc>
      </w:tr>
    </w:tbl>
    <w:p>
      <w:pPr>
        <w:spacing w:line="254" w:lineRule="auto" w:after="80"/>
      </w:pPr>
    </w:p>
    <w:p>
      <w:pPr>
        <w:spacing w:line="254" w:lineRule="auto" w:after="80"/>
      </w:pPr>
      <w:r>
        <w:t>Typical final interpretation: a precision-oriented configuration may achieve very high precision and Top-N precision while missing some injected records. This is acceptable for a prototype FinOps dashboard because reducing false alarms is operationally valuable.</w:t>
      </w:r>
    </w:p>
    <w:p>
      <w:pPr>
        <w:spacing w:line="254" w:lineRule="auto" w:after="80"/>
        <w:jc w:val="center"/>
      </w:pPr>
      <w:r>
        <w:drawing>
          <wp:inline xmlns:a="http://schemas.openxmlformats.org/drawingml/2006/main" xmlns:pic="http://schemas.openxmlformats.org/drawingml/2006/picture">
            <wp:extent cx="5989320" cy="6060200"/>
            <wp:docPr id="2" name="Picture 2"/>
            <wp:cNvGraphicFramePr>
              <a:graphicFrameLocks noChangeAspect="1"/>
            </wp:cNvGraphicFramePr>
            <a:graphic>
              <a:graphicData uri="http://schemas.openxmlformats.org/drawingml/2006/picture">
                <pic:pic>
                  <pic:nvPicPr>
                    <pic:cNvPr id="0" name="Screenshot 2026-06-17 at 10.20.13.png"/>
                    <pic:cNvPicPr/>
                  </pic:nvPicPr>
                  <pic:blipFill>
                    <a:blip r:embed="rId11"/>
                    <a:stretch>
                      <a:fillRect/>
                    </a:stretch>
                  </pic:blipFill>
                  <pic:spPr>
                    <a:xfrm>
                      <a:off x="0" y="0"/>
                      <a:ext cx="5989320" cy="6060200"/>
                    </a:xfrm>
                    <a:prstGeom prst="rect"/>
                  </pic:spPr>
                </pic:pic>
              </a:graphicData>
            </a:graphic>
          </wp:inline>
        </w:drawing>
      </w:r>
    </w:p>
    <w:p>
      <w:pPr>
        <w:spacing w:line="254" w:lineRule="auto" w:after="80"/>
        <w:jc w:val="center"/>
      </w:pPr>
      <w:r>
        <w:rPr>
          <w:i/>
          <w:color w:val="5A5A5A"/>
          <w:sz w:val="17"/>
        </w:rPr>
        <w:t>Figure 2. Detection Evaluation panel showing precision, recall, F1, Top-N precision, and confusion matrix.</w:t>
      </w:r>
    </w:p>
    <w:p>
      <w:pPr>
        <w:pStyle w:val="Heading1"/>
        <w:spacing w:before="160" w:after="80"/>
      </w:pPr>
      <w:r>
        <w:t>7. Using the Anomaly Table and Root Cause Panel</w:t>
      </w:r>
    </w:p>
    <w:p>
      <w:pPr>
        <w:spacing w:line="254" w:lineRule="auto" w:after="80"/>
        <w:ind w:left="403" w:hanging="317"/>
      </w:pPr>
      <w:r>
        <w:t>1. Click an anomaly row in the Anomaly table. The cost chart and Root Cause panel update to the selected anomaly.</w:t>
      </w:r>
    </w:p>
    <w:p>
      <w:pPr>
        <w:spacing w:line="254" w:lineRule="auto" w:after="80"/>
        <w:ind w:left="403" w:hanging="317"/>
      </w:pPr>
      <w:r>
        <w:t>2. Check Ground Truth and Evaluation. True-positive rows have an expected cause and expected event ID. False-positive rows should show N/A for expected cause/event.</w:t>
      </w:r>
    </w:p>
    <w:p>
      <w:pPr>
        <w:spacing w:line="254" w:lineRule="auto" w:after="80"/>
        <w:ind w:left="403" w:hanging="317"/>
      </w:pPr>
      <w:r>
        <w:t>3. Click Run Attribution. For true positives, ranked root-cause candidates appear with confidence, matched dimensions, pod name, CPU, memory, GPU, and evidence.</w:t>
      </w:r>
    </w:p>
    <w:p>
      <w:pPr>
        <w:spacing w:line="254" w:lineRule="auto" w:after="80"/>
        <w:ind w:left="403" w:hanging="317"/>
      </w:pPr>
      <w:r>
        <w:t>4. Review whether the top candidate matches the expected event/cause. This is what Root-cause Top-1 measures.</w:t>
      </w:r>
    </w:p>
    <w:p>
      <w:pPr>
        <w:spacing w:line="254" w:lineRule="auto" w:after="80"/>
        <w:ind w:left="403" w:hanging="317"/>
      </w:pPr>
      <w:r>
        <w:t>5. Use the Event Timeline to inspect related synthesized Alibaba-derived events around the anomaly period.</w:t>
      </w:r>
    </w:p>
    <w:p>
      <w:pPr>
        <w:spacing w:line="254" w:lineRule="auto" w:after="80"/>
      </w:pPr>
      <w:r>
        <w:t>False-positive attribution rule: if a detected anomaly is labeled normal in the hybrid ground truth, the UI must not present an Alibaba event as a confirmed root cause. Such matches, if shown, are exploratory only and are not counted in Root-cause Top-1 accuracy.</w:t>
      </w:r>
    </w:p>
    <w:p>
      <w:pPr>
        <w:spacing w:line="254" w:lineRule="auto" w:after="80"/>
        <w:jc w:val="center"/>
      </w:pPr>
      <w:r>
        <w:drawing>
          <wp:inline xmlns:a="http://schemas.openxmlformats.org/drawingml/2006/main" xmlns:pic="http://schemas.openxmlformats.org/drawingml/2006/picture">
            <wp:extent cx="5989320" cy="5053024"/>
            <wp:docPr id="3" name="Picture 3"/>
            <wp:cNvGraphicFramePr>
              <a:graphicFrameLocks noChangeAspect="1"/>
            </wp:cNvGraphicFramePr>
            <a:graphic>
              <a:graphicData uri="http://schemas.openxmlformats.org/drawingml/2006/picture">
                <pic:pic>
                  <pic:nvPicPr>
                    <pic:cNvPr id="0" name="Screenshot 2026-06-17 at 10.20.26.png"/>
                    <pic:cNvPicPr/>
                  </pic:nvPicPr>
                  <pic:blipFill>
                    <a:blip r:embed="rId12"/>
                    <a:stretch>
                      <a:fillRect/>
                    </a:stretch>
                  </pic:blipFill>
                  <pic:spPr>
                    <a:xfrm>
                      <a:off x="0" y="0"/>
                      <a:ext cx="5989320" cy="5053024"/>
                    </a:xfrm>
                    <a:prstGeom prst="rect"/>
                  </pic:spPr>
                </pic:pic>
              </a:graphicData>
            </a:graphic>
          </wp:inline>
        </w:drawing>
      </w:r>
    </w:p>
    <w:p>
      <w:pPr>
        <w:spacing w:line="254" w:lineRule="auto" w:after="80"/>
        <w:jc w:val="center"/>
      </w:pPr>
      <w:r>
        <w:rPr>
          <w:i/>
          <w:color w:val="5A5A5A"/>
          <w:sz w:val="17"/>
        </w:rPr>
        <w:t>Figure 3. Selected true-positive anomaly with ranked Alibaba-derived root-cause candidates.</w:t>
      </w:r>
    </w:p>
    <w:p>
      <w:pPr>
        <w:spacing w:line="254" w:lineRule="auto" w:after="80"/>
        <w:jc w:val="center"/>
      </w:pPr>
      <w:r>
        <w:drawing>
          <wp:inline xmlns:a="http://schemas.openxmlformats.org/drawingml/2006/main" xmlns:pic="http://schemas.openxmlformats.org/drawingml/2006/picture">
            <wp:extent cx="5989320" cy="4278086"/>
            <wp:docPr id="4" name="Picture 4"/>
            <wp:cNvGraphicFramePr>
              <a:graphicFrameLocks noChangeAspect="1"/>
            </wp:cNvGraphicFramePr>
            <a:graphic>
              <a:graphicData uri="http://schemas.openxmlformats.org/drawingml/2006/picture">
                <pic:pic>
                  <pic:nvPicPr>
                    <pic:cNvPr id="0" name="Screenshot 2026-06-17 at 10.20.35.png"/>
                    <pic:cNvPicPr/>
                  </pic:nvPicPr>
                  <pic:blipFill>
                    <a:blip r:embed="rId13"/>
                    <a:stretch>
                      <a:fillRect/>
                    </a:stretch>
                  </pic:blipFill>
                  <pic:spPr>
                    <a:xfrm>
                      <a:off x="0" y="0"/>
                      <a:ext cx="5989320" cy="4278086"/>
                    </a:xfrm>
                    <a:prstGeom prst="rect"/>
                  </pic:spPr>
                </pic:pic>
              </a:graphicData>
            </a:graphic>
          </wp:inline>
        </w:drawing>
      </w:r>
    </w:p>
    <w:p>
      <w:pPr>
        <w:spacing w:line="254" w:lineRule="auto" w:after="80"/>
        <w:jc w:val="center"/>
      </w:pPr>
      <w:r>
        <w:rPr>
          <w:i/>
          <w:color w:val="5A5A5A"/>
          <w:sz w:val="17"/>
        </w:rPr>
        <w:t>Figure 4. Event Timeline showing synthesized Alibaba trace-derived infrastructure events.</w:t>
      </w:r>
    </w:p>
    <w:p>
      <w:pPr>
        <w:pStyle w:val="Heading1"/>
        <w:spacing w:before="160" w:after="80"/>
      </w:pPr>
      <w:r>
        <w:t>8. Recommended Demonstration Flow</w:t>
      </w:r>
    </w:p>
    <w:p>
      <w:pPr>
        <w:spacing w:line="254" w:lineRule="auto" w:after="80"/>
        <w:ind w:left="403" w:hanging="317"/>
      </w:pPr>
      <w:r>
        <w:t>1. Start backend and frontend; confirm Connected to backend.</w:t>
      </w:r>
    </w:p>
    <w:p>
      <w:pPr>
        <w:spacing w:line="254" w:lineRule="auto" w:after="80"/>
        <w:ind w:left="403" w:hanging="317"/>
      </w:pPr>
      <w:r>
        <w:t>2. Run Reset and Rebuild Demo Data with seed 42 and a scenario count in the recommended 40-60 range.</w:t>
      </w:r>
    </w:p>
    <w:p>
      <w:pPr>
        <w:spacing w:line="254" w:lineRule="auto" w:after="80"/>
        <w:ind w:left="403" w:hanging="317"/>
      </w:pPr>
      <w:r>
        <w:t>3. Confirm FOCUS rows, Alibaba events, hybrid records, actual injected scenarios, and labeled injected records are populated.</w:t>
      </w:r>
    </w:p>
    <w:p>
      <w:pPr>
        <w:spacing w:line="254" w:lineRule="auto" w:after="80"/>
        <w:ind w:left="403" w:hanging="317"/>
      </w:pPr>
      <w:r>
        <w:t>4. Select hybrid_synthesized and review the Detection Evaluation section.</w:t>
      </w:r>
    </w:p>
    <w:p>
      <w:pPr>
        <w:spacing w:line="254" w:lineRule="auto" w:after="80"/>
        <w:ind w:left="403" w:hanging="317"/>
      </w:pPr>
      <w:r>
        <w:t>5. Open a true-positive anomaly in the Anomaly table.</w:t>
      </w:r>
    </w:p>
    <w:p>
      <w:pPr>
        <w:spacing w:line="254" w:lineRule="auto" w:after="80"/>
        <w:ind w:left="403" w:hanging="317"/>
      </w:pPr>
      <w:r>
        <w:t>6. Run attribution and explain the top-ranked Alibaba-derived event, evidence, and confidence.</w:t>
      </w:r>
    </w:p>
    <w:p>
      <w:pPr>
        <w:spacing w:line="254" w:lineRule="auto" w:after="80"/>
        <w:ind w:left="403" w:hanging="317"/>
      </w:pPr>
      <w:r>
        <w:t>7. Switch to focus mode if needed and explain why F1 and attribution are N/A for billing-only data.</w:t>
      </w:r>
    </w:p>
    <w:p>
      <w:pPr>
        <w:pStyle w:val="Heading1"/>
        <w:spacing w:before="160" w:after="80"/>
      </w:pPr>
      <w:r>
        <w:t>9. What to Do After Cleaning the Database</w:t>
      </w:r>
    </w:p>
    <w:p>
      <w:pPr>
        <w:spacing w:line="254" w:lineRule="auto" w:after="80"/>
      </w:pPr>
      <w:r>
        <w:t>Cleaning or reinstalling the database removes imported FOCUS rows, imported Alibaba events, hybrid records, labels, detection runs, anomaly results, and attribution candidates. Recreate the demo data with Reset and Rebuild Demo Data.</w:t>
      </w:r>
    </w:p>
    <w:p>
      <w:pPr>
        <w:spacing w:after="80" w:line="254" w:lineRule="auto"/>
        <w:ind w:left="360" w:right="360"/>
      </w:pPr>
      <w:r>
        <w:rPr>
          <w:rFonts w:ascii="Consolas" w:hAnsi="Consolas" w:eastAsia="Consolas"/>
          <w:sz w:val="17"/>
        </w:rPr>
        <w:t>Recommended rebuild values:</w:t>
        <w:br/>
        <w:t>FOCUS path: data/focus-sample/sample.csv</w:t>
        <w:br/>
        <w:t>Alibaba path: data/alibaba/openb_pod_list_default.csv</w:t>
        <w:br/>
        <w:t>Seed: 42</w:t>
        <w:br/>
        <w:t>Injected scenarios: 40-60</w:t>
        <w:br/>
        <w:t>Time window hours: 4</w:t>
        <w:br/>
        <w:t>Min baseline cost: 1</w:t>
        <w:br/>
        <w:t>Cost multiplier min/max: 3 / 6</w:t>
        <w:br/>
        <w:t>Run detection: checked</w:t>
        <w:br/>
        <w:t>Attribute true positives: checked</w:t>
      </w:r>
    </w:p>
    <w:p>
      <w:pPr>
        <w:pStyle w:val="Heading1"/>
        <w:spacing w:before="160" w:after="80"/>
      </w:pPr>
      <w:r>
        <w:t>10. Troubleshooting and Common Questions</w:t>
      </w:r>
    </w:p>
    <w:tbl>
      <w:tblPr>
        <w:tblStyle w:val="TableGrid"/>
        <w:tblW w:type="auto" w:w="0"/>
        <w:jc w:val="center"/>
        <w:tblLook w:firstColumn="1" w:firstRow="1" w:lastColumn="0" w:lastRow="0" w:noHBand="0" w:noVBand="1" w:val="04A0"/>
      </w:tblPr>
      <w:tblGrid>
        <w:gridCol w:w="5040"/>
        <w:gridCol w:w="5040"/>
      </w:tblGrid>
      <w:tr>
        <w:tc>
          <w:tcPr>
            <w:tcW w:type="dxa" w:w="3744"/>
            <w:shd w:fill="1F4E79"/>
            <w:vAlign w:val="top"/>
          </w:tcPr>
          <w:p>
            <w:pPr>
              <w:spacing w:after="40" w:line="240" w:lineRule="auto"/>
            </w:pPr>
            <w:r/>
            <w:r>
              <w:rPr>
                <w:rFonts w:ascii="Aptos" w:hAnsi="Aptos" w:eastAsia="Aptos"/>
                <w:b/>
                <w:color w:val="FFFFFF"/>
                <w:sz w:val="18"/>
              </w:rPr>
              <w:t>Question / Symptom</w:t>
            </w:r>
          </w:p>
        </w:tc>
        <w:tc>
          <w:tcPr>
            <w:tcW w:type="dxa" w:w="7056"/>
            <w:shd w:fill="1F4E79"/>
            <w:vAlign w:val="top"/>
          </w:tcPr>
          <w:p>
            <w:pPr>
              <w:spacing w:after="40" w:line="240" w:lineRule="auto"/>
            </w:pPr>
            <w:r/>
            <w:r>
              <w:rPr>
                <w:rFonts w:ascii="Aptos" w:hAnsi="Aptos" w:eastAsia="Aptos"/>
                <w:b/>
                <w:color w:val="FFFFFF"/>
                <w:sz w:val="18"/>
              </w:rPr>
              <w:t>Answer / Action</w:t>
            </w:r>
          </w:p>
        </w:tc>
      </w:tr>
      <w:tr>
        <w:tc>
          <w:tcPr>
            <w:tcW w:type="dxa" w:w="3744"/>
            <w:vAlign w:val="top"/>
          </w:tcPr>
          <w:p>
            <w:pPr>
              <w:spacing w:after="40" w:line="240" w:lineRule="auto"/>
            </w:pPr>
            <w:r/>
            <w:r>
              <w:rPr>
                <w:rFonts w:ascii="Aptos" w:hAnsi="Aptos" w:eastAsia="Aptos"/>
                <w:b w:val="0"/>
                <w:sz w:val="16"/>
              </w:rPr>
              <w:t>Requested scenarios is higher than actual injected scenarios.</w:t>
            </w:r>
          </w:p>
        </w:tc>
        <w:tc>
          <w:tcPr>
            <w:tcW w:type="dxa" w:w="7056"/>
            <w:vAlign w:val="top"/>
          </w:tcPr>
          <w:p>
            <w:pPr>
              <w:spacing w:after="40" w:line="240" w:lineRule="auto"/>
            </w:pPr>
            <w:r/>
            <w:r>
              <w:rPr>
                <w:rFonts w:ascii="Aptos" w:hAnsi="Aptos" w:eastAsia="Aptos"/>
                <w:b w:val="0"/>
                <w:sz w:val="16"/>
              </w:rPr>
              <w:t>This is expected when eligibility filters reject unsuitable scenarios. Actual injected scenarios are the defensible subset.</w:t>
            </w:r>
          </w:p>
        </w:tc>
      </w:tr>
      <w:tr>
        <w:tc>
          <w:tcPr>
            <w:tcW w:type="dxa" w:w="3744"/>
            <w:vAlign w:val="top"/>
          </w:tcPr>
          <w:p>
            <w:pPr>
              <w:spacing w:after="40" w:line="240" w:lineRule="auto"/>
            </w:pPr>
            <w:r/>
            <w:r>
              <w:rPr>
                <w:rFonts w:ascii="Aptos" w:hAnsi="Aptos" w:eastAsia="Aptos"/>
                <w:b w:val="0"/>
                <w:sz w:val="16"/>
              </w:rPr>
              <w:t>F1 is N/A for FOCUS.</w:t>
            </w:r>
          </w:p>
        </w:tc>
        <w:tc>
          <w:tcPr>
            <w:tcW w:type="dxa" w:w="7056"/>
            <w:vAlign w:val="top"/>
          </w:tcPr>
          <w:p>
            <w:pPr>
              <w:spacing w:after="40" w:line="240" w:lineRule="auto"/>
            </w:pPr>
            <w:r/>
            <w:r>
              <w:rPr>
                <w:rFonts w:ascii="Aptos" w:hAnsi="Aptos" w:eastAsia="Aptos"/>
                <w:b w:val="0"/>
                <w:sz w:val="16"/>
              </w:rPr>
              <w:t>Correct. FOCUS is billing-only and does not include ground-truth anomaly labels or matching infrastructure events.</w:t>
            </w:r>
          </w:p>
        </w:tc>
      </w:tr>
      <w:tr>
        <w:tc>
          <w:tcPr>
            <w:tcW w:type="dxa" w:w="3744"/>
            <w:vAlign w:val="top"/>
          </w:tcPr>
          <w:p>
            <w:pPr>
              <w:spacing w:after="40" w:line="240" w:lineRule="auto"/>
            </w:pPr>
            <w:r/>
            <w:r>
              <w:rPr>
                <w:rFonts w:ascii="Aptos" w:hAnsi="Aptos" w:eastAsia="Aptos"/>
                <w:b w:val="0"/>
                <w:sz w:val="16"/>
              </w:rPr>
              <w:t>Root Cause panel has no candidates for FOCUS.</w:t>
            </w:r>
          </w:p>
        </w:tc>
        <w:tc>
          <w:tcPr>
            <w:tcW w:type="dxa" w:w="7056"/>
            <w:vAlign w:val="top"/>
          </w:tcPr>
          <w:p>
            <w:pPr>
              <w:spacing w:after="40" w:line="240" w:lineRule="auto"/>
            </w:pPr>
            <w:r/>
            <w:r>
              <w:rPr>
                <w:rFonts w:ascii="Aptos" w:hAnsi="Aptos" w:eastAsia="Aptos"/>
                <w:b w:val="0"/>
                <w:sz w:val="16"/>
              </w:rPr>
              <w:t>Correct unless matching event data is provided.</w:t>
            </w:r>
          </w:p>
        </w:tc>
      </w:tr>
      <w:tr>
        <w:tc>
          <w:tcPr>
            <w:tcW w:type="dxa" w:w="3744"/>
            <w:vAlign w:val="top"/>
          </w:tcPr>
          <w:p>
            <w:pPr>
              <w:spacing w:after="40" w:line="240" w:lineRule="auto"/>
            </w:pPr>
            <w:r/>
            <w:r>
              <w:rPr>
                <w:rFonts w:ascii="Aptos" w:hAnsi="Aptos" w:eastAsia="Aptos"/>
                <w:b w:val="0"/>
                <w:sz w:val="16"/>
              </w:rPr>
              <w:t>A false-positive anomaly is selected.</w:t>
            </w:r>
          </w:p>
        </w:tc>
        <w:tc>
          <w:tcPr>
            <w:tcW w:type="dxa" w:w="7056"/>
            <w:vAlign w:val="top"/>
          </w:tcPr>
          <w:p>
            <w:pPr>
              <w:spacing w:after="40" w:line="240" w:lineRule="auto"/>
            </w:pPr>
            <w:r/>
            <w:r>
              <w:rPr>
                <w:rFonts w:ascii="Aptos" w:hAnsi="Aptos" w:eastAsia="Aptos"/>
                <w:b w:val="0"/>
                <w:sz w:val="16"/>
              </w:rPr>
              <w:t>Do not treat nearby events as confirmed root cause. False positives have no Alibaba-derived ground-truth cause.</w:t>
            </w:r>
          </w:p>
        </w:tc>
      </w:tr>
      <w:tr>
        <w:tc>
          <w:tcPr>
            <w:tcW w:type="dxa" w:w="3744"/>
            <w:vAlign w:val="top"/>
          </w:tcPr>
          <w:p>
            <w:pPr>
              <w:spacing w:after="40" w:line="240" w:lineRule="auto"/>
            </w:pPr>
            <w:r/>
            <w:r>
              <w:rPr>
                <w:rFonts w:ascii="Aptos" w:hAnsi="Aptos" w:eastAsia="Aptos"/>
                <w:b w:val="0"/>
                <w:sz w:val="16"/>
              </w:rPr>
              <w:t>Precision is high but recall is low.</w:t>
            </w:r>
          </w:p>
        </w:tc>
        <w:tc>
          <w:tcPr>
            <w:tcW w:type="dxa" w:w="7056"/>
            <w:vAlign w:val="top"/>
          </w:tcPr>
          <w:p>
            <w:pPr>
              <w:spacing w:after="40" w:line="240" w:lineRule="auto"/>
            </w:pPr>
            <w:r/>
            <w:r>
              <w:rPr>
                <w:rFonts w:ascii="Aptos" w:hAnsi="Aptos" w:eastAsia="Aptos"/>
                <w:b w:val="0"/>
                <w:sz w:val="16"/>
              </w:rPr>
              <w:t>The detector is conservative. This may be acceptable for a FinOps demo because it reduces false alarms. Increase injected scenario count moderately or adjust detection thresholds only if needed.</w:t>
            </w:r>
          </w:p>
        </w:tc>
      </w:tr>
      <w:tr>
        <w:tc>
          <w:tcPr>
            <w:tcW w:type="dxa" w:w="3744"/>
            <w:vAlign w:val="top"/>
          </w:tcPr>
          <w:p>
            <w:pPr>
              <w:spacing w:after="40" w:line="240" w:lineRule="auto"/>
            </w:pPr>
            <w:r/>
            <w:r>
              <w:rPr>
                <w:rFonts w:ascii="Aptos" w:hAnsi="Aptos" w:eastAsia="Aptos"/>
                <w:b w:val="0"/>
                <w:sz w:val="16"/>
              </w:rPr>
              <w:t>The same file was imported twice.</w:t>
            </w:r>
          </w:p>
        </w:tc>
        <w:tc>
          <w:tcPr>
            <w:tcW w:type="dxa" w:w="7056"/>
            <w:vAlign w:val="top"/>
          </w:tcPr>
          <w:p>
            <w:pPr>
              <w:spacing w:after="40" w:line="240" w:lineRule="auto"/>
            </w:pPr>
            <w:r/>
            <w:r>
              <w:rPr>
                <w:rFonts w:ascii="Aptos" w:hAnsi="Aptos" w:eastAsia="Aptos"/>
                <w:b w:val="0"/>
                <w:sz w:val="16"/>
              </w:rPr>
              <w:t>FOCUS import appends rows. Use Reset and Rebuild Demo Data to clear and recreate demo data safely.</w:t>
            </w:r>
          </w:p>
        </w:tc>
      </w:tr>
      <w:tr>
        <w:tc>
          <w:tcPr>
            <w:tcW w:type="dxa" w:w="3744"/>
            <w:vAlign w:val="top"/>
          </w:tcPr>
          <w:p>
            <w:pPr>
              <w:spacing w:after="40" w:line="240" w:lineRule="auto"/>
            </w:pPr>
            <w:r/>
            <w:r>
              <w:rPr>
                <w:rFonts w:ascii="Aptos" w:hAnsi="Aptos" w:eastAsia="Aptos"/>
                <w:b w:val="0"/>
                <w:sz w:val="16"/>
              </w:rPr>
              <w:t>Expected cost or actual cost looks negative.</w:t>
            </w:r>
          </w:p>
        </w:tc>
        <w:tc>
          <w:tcPr>
            <w:tcW w:type="dxa" w:w="7056"/>
            <w:vAlign w:val="top"/>
          </w:tcPr>
          <w:p>
            <w:pPr>
              <w:spacing w:after="40" w:line="240" w:lineRule="auto"/>
            </w:pPr>
            <w:r/>
            <w:r>
              <w:rPr>
                <w:rFonts w:ascii="Aptos" w:hAnsi="Aptos" w:eastAsia="Aptos"/>
                <w:b w:val="0"/>
                <w:sz w:val="16"/>
              </w:rPr>
              <w:t>This should not occur in the latest version. Expected and actual cost values are clipped at zero.</w:t>
            </w:r>
          </w:p>
        </w:tc>
      </w:tr>
    </w:tbl>
    <w:p>
      <w:pPr>
        <w:spacing w:line="254" w:lineRule="auto" w:after="80"/>
      </w:pPr>
    </w:p>
    <w:p>
      <w:pPr>
        <w:pStyle w:val="Heading1"/>
        <w:spacing w:before="160" w:after="80"/>
      </w:pPr>
      <w:r>
        <w:t>11. Safe Claims for Report and Presentation</w:t>
      </w:r>
    </w:p>
    <w:p>
      <w:pPr>
        <w:pStyle w:val="ListBullet"/>
        <w:spacing w:line="254" w:lineRule="auto" w:after="80"/>
      </w:pPr>
      <w:r>
        <w:t>FOCUS validates realistic billing normalization and billing-only anomaly detection.</w:t>
      </w:r>
    </w:p>
    <w:p>
      <w:pPr>
        <w:pStyle w:val="ListBullet"/>
        <w:spacing w:line="254" w:lineRule="auto" w:after="80"/>
      </w:pPr>
      <w:r>
        <w:t>Alibaba trace data provides realistic workload-event patterns for hybrid synthesized evaluation.</w:t>
      </w:r>
    </w:p>
    <w:p>
      <w:pPr>
        <w:pStyle w:val="ListBullet"/>
        <w:spacing w:line="254" w:lineRule="auto" w:after="80"/>
      </w:pPr>
      <w:r>
        <w:t>The hybrid dataset creates controlled ground truth by synthetically injecting cost anomalies into the FOCUS billing baseline based on Alibaba-derived events.</w:t>
      </w:r>
    </w:p>
    <w:p>
      <w:pPr>
        <w:pStyle w:val="ListBullet"/>
        <w:spacing w:line="254" w:lineRule="auto" w:after="80"/>
      </w:pPr>
      <w:r>
        <w:t>The project does not claim real causality between the public FOCUS and Alibaba datasets.</w:t>
      </w:r>
    </w:p>
    <w:p>
      <w:pPr>
        <w:pStyle w:val="ListBullet"/>
        <w:spacing w:line="254" w:lineRule="auto" w:after="80"/>
      </w:pPr>
      <w:r>
        <w:t>F1 and root-cause Top-1 are valid only for synthetic or hybrid_synthesized datasets with labels and expected events.</w:t>
      </w:r>
    </w:p>
    <w:p>
      <w:pPr>
        <w:pStyle w:val="ListBullet"/>
        <w:spacing w:line="254" w:lineRule="auto" w:after="80"/>
      </w:pPr>
      <w:r>
        <w:t>Root-cause Top-1 is evaluated only on true-positive detections, not false positives.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FOCUS billing + Alibaba trace hybrid synthesized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Cloud Cost Anomaly Detection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80"/>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