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Еюбоглу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</w:t>
      </w:r>
      <w:r>
        <w:t xml:space="preserve"> </w:t>
      </w:r>
      <w:r>
        <w:t xml:space="preserve">непрерывном и дискретном времени.</w:t>
      </w:r>
    </w:p>
    <w:bookmarkEnd w:id="20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Xd334ed27a1ef487d0bed26bc9dd5b323bb6253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Вспомним, что обыкновенное дифференциальное уравнение (ОДУ) описывает изменение некоторой</w:t>
      </w:r>
      <w:r>
        <w:t xml:space="preserve"> </w:t>
      </w:r>
      <w:r>
        <w:t xml:space="preserve">переменной u.</w:t>
      </w:r>
    </w:p>
    <w:p>
      <w:pPr>
        <w:pStyle w:val="BodyText"/>
      </w:pPr>
      <w:r>
        <w:t xml:space="preserve">Для решения обыкновенных дифференциальных уравнений (ОДУ) в Julia можно использовать пакет</w:t>
      </w:r>
      <w:r>
        <w:t xml:space="preserve"> </w:t>
      </w:r>
      <w:r>
        <w:t xml:space="preserve">diffrentialEquations.jl.</w:t>
      </w:r>
    </w:p>
    <w:bookmarkEnd w:id="21"/>
    <w:bookmarkStart w:id="30" w:name="модель-экспоненциального-рос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</w:t>
      </w:r>
      <w:r>
        <w:t xml:space="preserve"> </w:t>
      </w:r>
      <w:r>
        <w:t xml:space="preserve">описываемую уравнением, где a — коэффициент роста.</w:t>
      </w:r>
    </w:p>
    <w:p>
      <w:pPr>
        <w:pStyle w:val="BodyText"/>
      </w:pPr>
      <w:r>
        <w:t xml:space="preserve">Численное решение в Julia будет иметь следующий вид, а также график,</w:t>
      </w:r>
      <w:r>
        <w:t xml:space="preserve"> </w:t>
      </w:r>
      <w:r>
        <w:t xml:space="preserve">соответствующий полученному решению (рис. 1):</w:t>
      </w:r>
    </w:p>
    <w:bookmarkStart w:id="25" w:name="fig:001"/>
    <w:p>
      <w:pPr>
        <w:pStyle w:val="CaptionedFigure"/>
      </w:pPr>
      <w:r>
        <w:drawing>
          <wp:inline>
            <wp:extent cx="5334000" cy="3402134"/>
            <wp:effectExtent b="0" l="0" r="0" t="0"/>
            <wp:docPr descr="Рис. 1: График модели экспоненциального рос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модели экспоненциального роста</w:t>
      </w:r>
    </w:p>
    <w:bookmarkEnd w:id="25"/>
    <w:p>
      <w:pPr>
        <w:pStyle w:val="BodyText"/>
      </w:pPr>
      <w:r>
        <w:t xml:space="preserve">При построении одного из графиков использовался вызов sol.t, чтобы захватить массив моментов</w:t>
      </w:r>
      <w:r>
        <w:t xml:space="preserve"> </w:t>
      </w:r>
      <w:r>
        <w:t xml:space="preserve">времени. Массив решений можно получить, воспользовавшись sol.u.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 abstol</w:t>
      </w:r>
      <w:r>
        <w:t xml:space="preserve"> </w:t>
      </w:r>
      <w:r>
        <w:t xml:space="preserve">(задаёт близость к нулю) и reltol (задаёт относительную точность). По умолчанию эти параметры</w:t>
      </w:r>
      <w:r>
        <w:t xml:space="preserve"> </w:t>
      </w:r>
      <w:r>
        <w:t xml:space="preserve">имеют значение abstol = 1e-6 и reltol = 1e-3.</w:t>
      </w:r>
    </w:p>
    <w:p>
      <w:pPr>
        <w:pStyle w:val="BodyText"/>
      </w:pPr>
      <w:r>
        <w:t xml:space="preserve">Для модели экспоненциального роста (рис. 2):</w:t>
      </w:r>
    </w:p>
    <w:bookmarkStart w:id="29" w:name="fig:002"/>
    <w:p>
      <w:pPr>
        <w:pStyle w:val="CaptionedFigure"/>
      </w:pPr>
      <w:r>
        <w:drawing>
          <wp:inline>
            <wp:extent cx="5334000" cy="2914894"/>
            <wp:effectExtent b="0" l="0" r="0" t="0"/>
            <wp:docPr descr="Рис. 2: График модели экспоненциального роста (задана точность решения)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модели экспоненциального роста (задана точность решения)</w:t>
      </w:r>
    </w:p>
    <w:bookmarkEnd w:id="29"/>
    <w:bookmarkEnd w:id="30"/>
    <w:bookmarkStart w:id="39" w:name="система-лоренц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</w:t>
      </w:r>
      <w:r>
        <w:t xml:space="preserve"> </w:t>
      </w:r>
      <w:r>
        <w:t xml:space="preserve">уравнений третьего порядка.</w:t>
      </w:r>
    </w:p>
    <w:p>
      <w:pPr>
        <w:pStyle w:val="BodyText"/>
      </w:pPr>
      <w:r>
        <w:t xml:space="preserve">Система получена из системы уравнений Навье–Стокса и описывает движение воздушных потоков в</w:t>
      </w:r>
      <w:r>
        <w:t xml:space="preserve"> </w:t>
      </w:r>
      <w:r>
        <w:t xml:space="preserve">плоском слое жидкости постоянной толщины при разложении скорости течения и температуры в</w:t>
      </w:r>
      <w:r>
        <w:t xml:space="preserve"> </w:t>
      </w:r>
      <w:r>
        <w:t xml:space="preserve">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</w:t>
      </w:r>
      <w:r>
        <w:t xml:space="preserve"> </w:t>
      </w:r>
      <w:r>
        <w:t xml:space="preserve">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 (рис. 3):</w:t>
      </w:r>
    </w:p>
    <w:bookmarkStart w:id="34" w:name="fig:003"/>
    <w:p>
      <w:pPr>
        <w:pStyle w:val="CaptionedFigure"/>
      </w:pPr>
      <w:r>
        <w:drawing>
          <wp:inline>
            <wp:extent cx="5334000" cy="4188557"/>
            <wp:effectExtent b="0" l="0" r="0" t="0"/>
            <wp:docPr descr="Рис. 3: Аттрактор Лоренца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Аттрактор Лоренца</w:t>
      </w:r>
    </w:p>
    <w:bookmarkEnd w:id="34"/>
    <w:p>
      <w:pPr>
        <w:pStyle w:val="BodyText"/>
      </w:pPr>
      <w:r>
        <w:t xml:space="preserve">Можно отключить интерполяцию (рис. 4):</w:t>
      </w:r>
    </w:p>
    <w:bookmarkStart w:id="38" w:name="fig:004"/>
    <w:p>
      <w:pPr>
        <w:pStyle w:val="CaptionedFigure"/>
      </w:pPr>
      <w:r>
        <w:drawing>
          <wp:inline>
            <wp:extent cx="5334000" cy="2307980"/>
            <wp:effectExtent b="0" l="0" r="0" t="0"/>
            <wp:docPr descr="Рис. 4: Аттрактор Лоренца (интерполяция отключена)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Аттрактор Лоренца (интерполяция отключена)</w:t>
      </w:r>
    </w:p>
    <w:bookmarkEnd w:id="38"/>
    <w:bookmarkEnd w:id="39"/>
    <w:bookmarkStart w:id="48" w:name="модель-лоткивольтер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Модель Лотки–Вольтерры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жертва».</w:t>
      </w:r>
    </w:p>
    <w:p>
      <w:pPr>
        <w:pStyle w:val="BodyText"/>
      </w:pPr>
      <w:r>
        <w:t xml:space="preserve">Численное решение в Julia будет иметь следующий вид (рис. 5):</w:t>
      </w:r>
    </w:p>
    <w:bookmarkStart w:id="43" w:name="fig:005"/>
    <w:p>
      <w:pPr>
        <w:pStyle w:val="CaptionedFigure"/>
      </w:pPr>
      <w:r>
        <w:drawing>
          <wp:inline>
            <wp:extent cx="5334000" cy="5735759"/>
            <wp:effectExtent b="0" l="0" r="0" t="0"/>
            <wp:docPr descr="Рис. 5: Модель Лотки–Вольтерры: динамика изменения численности популяций" title="" id="41" name="Picture"/>
            <a:graphic>
              <a:graphicData uri="http://schemas.openxmlformats.org/drawingml/2006/picture">
                <pic:pic>
                  <pic:nvPicPr>
                    <pic:cNvPr descr="image/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Лотки–Вольтерры: динамика изменения численности популяций</w:t>
      </w:r>
    </w:p>
    <w:bookmarkEnd w:id="43"/>
    <w:p>
      <w:pPr>
        <w:pStyle w:val="BodyText"/>
      </w:pPr>
      <w:r>
        <w:t xml:space="preserve">Фазовый портрет (рис. 6):</w:t>
      </w:r>
    </w:p>
    <w:bookmarkStart w:id="47" w:name="fig:006"/>
    <w:p>
      <w:pPr>
        <w:pStyle w:val="CaptionedFigure"/>
      </w:pPr>
      <w:r>
        <w:drawing>
          <wp:inline>
            <wp:extent cx="5334000" cy="2538778"/>
            <wp:effectExtent b="0" l="0" r="0" t="0"/>
            <wp:docPr descr="Рис. 6: Модель Лотки–Вольтерры: фазовый портрет" title="" id="45" name="Picture"/>
            <a:graphic>
              <a:graphicData uri="http://schemas.openxmlformats.org/drawingml/2006/picture">
                <pic:pic>
                  <pic:nvPicPr>
                    <pic:cNvPr descr="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Лотки–Вольтерры: фазовый портрет</w:t>
      </w:r>
    </w:p>
    <w:bookmarkEnd w:id="47"/>
    <w:bookmarkEnd w:id="48"/>
    <w:bookmarkStart w:id="81" w:name="самостоятельное-выполнени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Самостоятельное выполнение</w:t>
      </w:r>
    </w:p>
    <w:p>
      <w:pPr>
        <w:pStyle w:val="FirstParagraph"/>
      </w:pPr>
      <w:r>
        <w:t xml:space="preserve">Выполнение задания №1 (рис. 7):</w:t>
      </w:r>
    </w:p>
    <w:bookmarkStart w:id="52" w:name="fig:007"/>
    <w:p>
      <w:pPr>
        <w:pStyle w:val="CaptionedFigure"/>
      </w:pPr>
      <w:r>
        <w:drawing>
          <wp:inline>
            <wp:extent cx="5334000" cy="3692769"/>
            <wp:effectExtent b="0" l="0" r="0" t="0"/>
            <wp:docPr descr="Рис. 7: Решение задания №1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Решение задания №1</w:t>
      </w:r>
    </w:p>
    <w:bookmarkEnd w:id="52"/>
    <w:p>
      <w:pPr>
        <w:pStyle w:val="BodyText"/>
      </w:pPr>
      <w:r>
        <w:t xml:space="preserve">Выполнение задания №2 (рис. 8):</w:t>
      </w:r>
    </w:p>
    <w:bookmarkStart w:id="56" w:name="fig:008"/>
    <w:p>
      <w:pPr>
        <w:pStyle w:val="CaptionedFigure"/>
      </w:pPr>
      <w:r>
        <w:drawing>
          <wp:inline>
            <wp:extent cx="5334000" cy="5291259"/>
            <wp:effectExtent b="0" l="0" r="0" t="0"/>
            <wp:docPr descr="Рис. 8: Решение задания №2" title="" id="54" name="Picture"/>
            <a:graphic>
              <a:graphicData uri="http://schemas.openxmlformats.org/drawingml/2006/picture">
                <pic:pic>
                  <pic:nvPicPr>
                    <pic:cNvPr descr="image/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Решение задания №2</w:t>
      </w:r>
    </w:p>
    <w:bookmarkEnd w:id="56"/>
    <w:p>
      <w:pPr>
        <w:pStyle w:val="BodyText"/>
      </w:pPr>
      <w:r>
        <w:t xml:space="preserve">Выполнение задания №3 (рис. 9):</w:t>
      </w:r>
    </w:p>
    <w:bookmarkStart w:id="60" w:name="fig:009"/>
    <w:p>
      <w:pPr>
        <w:pStyle w:val="CaptionedFigure"/>
      </w:pPr>
      <w:r>
        <w:drawing>
          <wp:inline>
            <wp:extent cx="5334000" cy="3393586"/>
            <wp:effectExtent b="0" l="0" r="0" t="0"/>
            <wp:docPr descr="Рис. 9: Решение задания №3" title="" id="58" name="Picture"/>
            <a:graphic>
              <a:graphicData uri="http://schemas.openxmlformats.org/drawingml/2006/picture">
                <pic:pic>
                  <pic:nvPicPr>
                    <pic:cNvPr descr="image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Решение задания №3</w:t>
      </w:r>
    </w:p>
    <w:bookmarkEnd w:id="60"/>
    <w:p>
      <w:pPr>
        <w:pStyle w:val="BodyText"/>
      </w:pPr>
      <w:r>
        <w:t xml:space="preserve">Выполнение задания №4 (рис. 10):</w:t>
      </w:r>
    </w:p>
    <w:bookmarkStart w:id="64" w:name="fig:010"/>
    <w:p>
      <w:pPr>
        <w:pStyle w:val="CaptionedFigure"/>
      </w:pPr>
      <w:r>
        <w:drawing>
          <wp:inline>
            <wp:extent cx="5334000" cy="3043115"/>
            <wp:effectExtent b="0" l="0" r="0" t="0"/>
            <wp:docPr descr="Рис. 10: Решение задания №4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Решение задания №4</w:t>
      </w:r>
    </w:p>
    <w:bookmarkEnd w:id="64"/>
    <w:p>
      <w:pPr>
        <w:pStyle w:val="BodyText"/>
      </w:pPr>
      <w:r>
        <w:t xml:space="preserve">Выполнение задания №5 (рис. 11):</w:t>
      </w:r>
    </w:p>
    <w:bookmarkStart w:id="68" w:name="fig:011"/>
    <w:p>
      <w:pPr>
        <w:pStyle w:val="CaptionedFigure"/>
      </w:pPr>
      <w:r>
        <w:drawing>
          <wp:inline>
            <wp:extent cx="5334000" cy="3120048"/>
            <wp:effectExtent b="0" l="0" r="0" t="0"/>
            <wp:docPr descr="Рис. 11: Решение задания №5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Решение задания №5</w:t>
      </w:r>
    </w:p>
    <w:bookmarkEnd w:id="68"/>
    <w:p>
      <w:pPr>
        <w:pStyle w:val="BodyText"/>
      </w:pPr>
      <w:r>
        <w:t xml:space="preserve">Выполнение задания №6 (рис. 12):</w:t>
      </w:r>
    </w:p>
    <w:bookmarkStart w:id="72" w:name="fig:012"/>
    <w:p>
      <w:pPr>
        <w:pStyle w:val="CaptionedFigure"/>
      </w:pPr>
      <w:r>
        <w:drawing>
          <wp:inline>
            <wp:extent cx="5334000" cy="2837961"/>
            <wp:effectExtent b="0" l="0" r="0" t="0"/>
            <wp:docPr descr="Рис. 12: Решение задания №6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Решение задания №6</w:t>
      </w:r>
    </w:p>
    <w:bookmarkEnd w:id="72"/>
    <w:p>
      <w:pPr>
        <w:pStyle w:val="BodyText"/>
      </w:pPr>
      <w:r>
        <w:t xml:space="preserve">Выполнение задания №7 (рис. 13):</w:t>
      </w:r>
    </w:p>
    <w:bookmarkStart w:id="76" w:name="fig:013"/>
    <w:p>
      <w:pPr>
        <w:pStyle w:val="CaptionedFigure"/>
      </w:pPr>
      <w:r>
        <w:drawing>
          <wp:inline>
            <wp:extent cx="5334000" cy="3145692"/>
            <wp:effectExtent b="0" l="0" r="0" t="0"/>
            <wp:docPr descr="Рис. 13: Решение задания №7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Решение задания №7</w:t>
      </w:r>
    </w:p>
    <w:bookmarkEnd w:id="76"/>
    <w:p>
      <w:pPr>
        <w:pStyle w:val="BodyText"/>
      </w:pPr>
      <w:r>
        <w:t xml:space="preserve">Выполнение задания №8 (рис. 14):</w:t>
      </w:r>
    </w:p>
    <w:bookmarkStart w:id="80" w:name="fig:014"/>
    <w:p>
      <w:pPr>
        <w:pStyle w:val="CaptionedFigure"/>
      </w:pPr>
      <w:r>
        <w:drawing>
          <wp:inline>
            <wp:extent cx="5334000" cy="2872153"/>
            <wp:effectExtent b="0" l="0" r="0" t="0"/>
            <wp:docPr descr="Рис. 14: Решение задания №8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Решение задания №8</w:t>
      </w:r>
    </w:p>
    <w:bookmarkEnd w:id="80"/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специализированные пакеты для</w:t>
      </w:r>
      <w:r>
        <w:t xml:space="preserve"> </w:t>
      </w:r>
      <w:r>
        <w:t xml:space="preserve">решения задач в непрерывном и дискретном времени.</w:t>
      </w:r>
    </w:p>
    <w:bookmarkEnd w:id="83"/>
    <w:bookmarkStart w:id="84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Еюбоглу Тимур</dc:creator>
  <dc:language>ru-RU</dc:language>
  <cp:keywords/>
  <dcterms:created xsi:type="dcterms:W3CDTF">2025-11-22T19:19:44Z</dcterms:created>
  <dcterms:modified xsi:type="dcterms:W3CDTF">2025-11-22T19:19:44Z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