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Компьютерный практикум по статистическому анализу данных</w:t>
      </w:r>
    </w:p>
    <w:p>
      <w:pPr>
        <w:pStyle w:val="Author"/>
      </w:pPr>
      <w:r>
        <w:t xml:space="preserve">Еюбоглу 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изучить несколько структур данных, реализованных в Julia,</w:t>
      </w:r>
      <w:r>
        <w:t xml:space="preserve"> </w:t>
      </w:r>
      <w:r>
        <w:t xml:space="preserve">научиться применять их и операции над ними для решения задач.</w:t>
      </w:r>
    </w:p>
    <w:bookmarkEnd w:id="20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кортеж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Кортежи</w:t>
      </w:r>
    </w:p>
    <w:p>
      <w:pPr>
        <w:pStyle w:val="FirstParagraph"/>
      </w:pPr>
      <w:r>
        <w:t xml:space="preserve">Кортеж (Tuple) — структура данных (контейнер) в виде неизменяемой индексируемой</w:t>
      </w:r>
      <w:r>
        <w:t xml:space="preserve"> </w:t>
      </w:r>
      <w:r>
        <w:t xml:space="preserve">последовательности элементов какого-либо типа (элементы индексируются с единицы).</w:t>
      </w:r>
    </w:p>
    <w:p>
      <w:pPr>
        <w:pStyle w:val="BodyText"/>
      </w:pPr>
      <w:r>
        <w:t xml:space="preserve">Синтаксис определения кортежа: (element1, element2, …).</w:t>
      </w:r>
    </w:p>
    <w:p>
      <w:pPr>
        <w:pStyle w:val="BodyText"/>
      </w:pPr>
      <w:r>
        <w:t xml:space="preserve">Примеры кортежей (рис. 1):</w:t>
      </w:r>
    </w:p>
    <w:bookmarkStart w:id="24" w:name="fig:001"/>
    <w:p>
      <w:pPr>
        <w:pStyle w:val="CaptionedFigure"/>
      </w:pPr>
      <w:r>
        <w:drawing>
          <wp:inline>
            <wp:extent cx="3834332" cy="4034117"/>
            <wp:effectExtent b="0" l="0" r="0" t="0"/>
            <wp:docPr descr="Рис. 1: Примеры кортежей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32" cy="403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 кортежей</w:t>
      </w:r>
    </w:p>
    <w:bookmarkEnd w:id="24"/>
    <w:p>
      <w:pPr>
        <w:pStyle w:val="BodyText"/>
      </w:pPr>
      <w:r>
        <w:t xml:space="preserve">Примеры операций над кортежами (рис. 2):</w:t>
      </w:r>
    </w:p>
    <w:bookmarkStart w:id="28" w:name="fig:002"/>
    <w:p>
      <w:pPr>
        <w:pStyle w:val="CaptionedFigure"/>
      </w:pPr>
      <w:r>
        <w:drawing>
          <wp:inline>
            <wp:extent cx="4426003" cy="4241586"/>
            <wp:effectExtent b="0" l="0" r="0" t="0"/>
            <wp:docPr descr="Рис. 2: Примеры операций над кортежами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003" cy="424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Примеры операций над кортежами</w:t>
      </w:r>
    </w:p>
    <w:bookmarkEnd w:id="28"/>
    <w:bookmarkEnd w:id="29"/>
    <w:bookmarkStart w:id="34" w:name="словар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Словари</w:t>
      </w:r>
    </w:p>
    <w:p>
      <w:pPr>
        <w:pStyle w:val="FirstParagraph"/>
      </w:pPr>
      <w:r>
        <w:t xml:space="preserve">Словарь — неупорядоченный набор связанных между собой по ключу данных.</w:t>
      </w:r>
    </w:p>
    <w:p>
      <w:pPr>
        <w:pStyle w:val="BodyText"/>
      </w:pPr>
      <w:r>
        <w:t xml:space="preserve">Синтаксис определения словаря: Dict(key1 =&gt; value1, key2 =&gt; value2, …).</w:t>
      </w:r>
    </w:p>
    <w:p>
      <w:pPr>
        <w:pStyle w:val="BodyText"/>
      </w:pPr>
      <w:r>
        <w:t xml:space="preserve">Примеры словарей и операций над ними (рис. 3):</w:t>
      </w:r>
    </w:p>
    <w:bookmarkStart w:id="33" w:name="fig:003"/>
    <w:p>
      <w:pPr>
        <w:pStyle w:val="CaptionedFigure"/>
      </w:pPr>
      <w:r>
        <w:drawing>
          <wp:inline>
            <wp:extent cx="5334000" cy="4652805"/>
            <wp:effectExtent b="0" l="0" r="0" t="0"/>
            <wp:docPr descr="Рис. 3: Примеры словарей и операций над ними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Примеры словарей и операций над ними</w:t>
      </w:r>
    </w:p>
    <w:bookmarkEnd w:id="33"/>
    <w:bookmarkEnd w:id="34"/>
    <w:bookmarkStart w:id="43" w:name="множеств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Множества</w:t>
      </w:r>
    </w:p>
    <w:p>
      <w:pPr>
        <w:pStyle w:val="FirstParagraph"/>
      </w:pPr>
      <w:r>
        <w:t xml:space="preserve">Множество, как структура данных в Julia, соответствует множеству, как математическому объекту,</w:t>
      </w:r>
      <w:r>
        <w:t xml:space="preserve"> </w:t>
      </w:r>
      <w:r>
        <w:t xml:space="preserve">то есть является неупорядоченной совокупностью элементов какого-либо типа.</w:t>
      </w:r>
      <w:r>
        <w:t xml:space="preserve"> </w:t>
      </w:r>
      <w:r>
        <w:t xml:space="preserve">Возможные операции над множествами: объединение, пересечение, разность; принадлежность элемента множеству.</w:t>
      </w:r>
    </w:p>
    <w:p>
      <w:pPr>
        <w:pStyle w:val="BodyText"/>
      </w:pPr>
      <w:r>
        <w:t xml:space="preserve">Синтаксис определения множества: Set([itr]) где itr — набор значений, сгенерированных данным итерируемым объектом или пустое</w:t>
      </w:r>
      <w:r>
        <w:t xml:space="preserve"> </w:t>
      </w:r>
      <w:r>
        <w:t xml:space="preserve">множество.</w:t>
      </w:r>
    </w:p>
    <w:p>
      <w:pPr>
        <w:pStyle w:val="BodyText"/>
      </w:pPr>
      <w:r>
        <w:t xml:space="preserve">Примеры множеств и операций над ними (рис. 4 - рис. 5):</w:t>
      </w:r>
    </w:p>
    <w:bookmarkStart w:id="38" w:name="fig:004"/>
    <w:p>
      <w:pPr>
        <w:pStyle w:val="CaptionedFigure"/>
      </w:pPr>
      <w:r>
        <w:drawing>
          <wp:inline>
            <wp:extent cx="5334000" cy="4858693"/>
            <wp:effectExtent b="0" l="0" r="0" t="0"/>
            <wp:docPr descr="Рис. 4: Примеры множетсв и операций над ними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Примеры множетсв и операций над ними</w:t>
      </w:r>
    </w:p>
    <w:bookmarkEnd w:id="38"/>
    <w:bookmarkStart w:id="42" w:name="fig:005"/>
    <w:p>
      <w:pPr>
        <w:pStyle w:val="CaptionedFigure"/>
      </w:pPr>
      <w:r>
        <w:drawing>
          <wp:inline>
            <wp:extent cx="5334000" cy="5240538"/>
            <wp:effectExtent b="0" l="0" r="0" t="0"/>
            <wp:docPr descr="Рис. 5: Примеры множеств и операций над ними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Примеры множеств и операций над ними</w:t>
      </w:r>
    </w:p>
    <w:bookmarkEnd w:id="42"/>
    <w:bookmarkEnd w:id="43"/>
    <w:bookmarkStart w:id="80" w:name="массив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Массивы</w:t>
      </w:r>
    </w:p>
    <w:p>
      <w:pPr>
        <w:pStyle w:val="FirstParagraph"/>
      </w:pPr>
      <w:r>
        <w:t xml:space="preserve">Массив — коллекция упорядоченных элементов, размещённая в многомерной сетке. Векторы и матрицы являются частными случаями массивов.</w:t>
      </w:r>
    </w:p>
    <w:p>
      <w:pPr>
        <w:pStyle w:val="BodyText"/>
      </w:pPr>
      <w:r>
        <w:t xml:space="preserve">Общий синтаксис одномерных массивов: array_name_1 = [element1, element2, …], array_name_2 = [element1 element2 …]</w:t>
      </w:r>
    </w:p>
    <w:p>
      <w:pPr>
        <w:pStyle w:val="BodyText"/>
      </w:pPr>
      <w:r>
        <w:t xml:space="preserve">Примеры массивов (рис. 6 - рис. 7):</w:t>
      </w:r>
    </w:p>
    <w:bookmarkStart w:id="47" w:name="fig:006"/>
    <w:p>
      <w:pPr>
        <w:pStyle w:val="CaptionedFigure"/>
      </w:pPr>
      <w:r>
        <w:drawing>
          <wp:inline>
            <wp:extent cx="5334000" cy="5266050"/>
            <wp:effectExtent b="0" l="0" r="0" t="0"/>
            <wp:docPr descr="Рис. 6: Примеры массивов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Примеры массивов</w:t>
      </w:r>
    </w:p>
    <w:bookmarkEnd w:id="47"/>
    <w:bookmarkStart w:id="51" w:name="fig:007"/>
    <w:p>
      <w:pPr>
        <w:pStyle w:val="CaptionedFigure"/>
      </w:pPr>
      <w:r>
        <w:drawing>
          <wp:inline>
            <wp:extent cx="5334000" cy="4208762"/>
            <wp:effectExtent b="0" l="0" r="0" t="0"/>
            <wp:docPr descr="Рис. 7: Примеры массивов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Примеры массивов</w:t>
      </w:r>
    </w:p>
    <w:bookmarkEnd w:id="51"/>
    <w:p>
      <w:pPr>
        <w:pStyle w:val="BodyText"/>
      </w:pPr>
      <w:r>
        <w:t xml:space="preserve">Примеры массивов, заданных некоторыми функциями через включение (рис. 8):</w:t>
      </w:r>
    </w:p>
    <w:bookmarkStart w:id="55" w:name="fig:008"/>
    <w:p>
      <w:pPr>
        <w:pStyle w:val="CaptionedFigure"/>
      </w:pPr>
      <w:r>
        <w:drawing>
          <wp:inline>
            <wp:extent cx="5334000" cy="4440865"/>
            <wp:effectExtent b="0" l="0" r="0" t="0"/>
            <wp:docPr descr="Рис. 8: Примеры массивов, заданных некоторыми функциями через включение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Примеры массивов, заданных некоторыми функциями через включение</w:t>
      </w:r>
    </w:p>
    <w:bookmarkEnd w:id="55"/>
    <w:p>
      <w:pPr>
        <w:pStyle w:val="BodyText"/>
      </w:pPr>
      <w:r>
        <w:t xml:space="preserve">Некоторые операции для работы с массивами: (рис. 9 - рис. 14):</w:t>
      </w:r>
    </w:p>
    <w:bookmarkStart w:id="59" w:name="fig:009"/>
    <w:p>
      <w:pPr>
        <w:pStyle w:val="CaptionedFigure"/>
      </w:pPr>
      <w:r>
        <w:drawing>
          <wp:inline>
            <wp:extent cx="5294299" cy="5878285"/>
            <wp:effectExtent b="0" l="0" r="0" t="0"/>
            <wp:docPr descr="Рис. 9: Некоторые операции для работы с массивами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299" cy="587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Некоторые операции для работы с массивами</w:t>
      </w:r>
    </w:p>
    <w:bookmarkEnd w:id="59"/>
    <w:bookmarkStart w:id="63" w:name="fig:010"/>
    <w:p>
      <w:pPr>
        <w:pStyle w:val="CaptionedFigure"/>
      </w:pPr>
      <w:r>
        <w:drawing>
          <wp:inline>
            <wp:extent cx="5334000" cy="4568260"/>
            <wp:effectExtent b="0" l="0" r="0" t="0"/>
            <wp:docPr descr="Рис. 10: Некоторые операции для работы с массивами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Некоторые операции для работы с массивами</w:t>
      </w:r>
    </w:p>
    <w:bookmarkEnd w:id="63"/>
    <w:bookmarkStart w:id="67" w:name="fig:011"/>
    <w:p>
      <w:pPr>
        <w:pStyle w:val="CaptionedFigure"/>
      </w:pPr>
      <w:r>
        <w:drawing>
          <wp:inline>
            <wp:extent cx="5334000" cy="5396589"/>
            <wp:effectExtent b="0" l="0" r="0" t="0"/>
            <wp:docPr descr="Рис. 11: Некоторые операции для работы с массивами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Некоторые операции для работы с массивами</w:t>
      </w:r>
    </w:p>
    <w:bookmarkEnd w:id="67"/>
    <w:bookmarkStart w:id="71" w:name="fig:012"/>
    <w:p>
      <w:pPr>
        <w:pStyle w:val="CaptionedFigure"/>
      </w:pPr>
      <w:r>
        <w:drawing>
          <wp:inline>
            <wp:extent cx="5334000" cy="5393848"/>
            <wp:effectExtent b="0" l="0" r="0" t="0"/>
            <wp:docPr descr="Рис. 12: Некоторые операции для работы с массивами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Некоторые операции для работы с массивами</w:t>
      </w:r>
    </w:p>
    <w:bookmarkEnd w:id="71"/>
    <w:bookmarkStart w:id="75" w:name="fig:013"/>
    <w:p>
      <w:pPr>
        <w:pStyle w:val="CaptionedFigure"/>
      </w:pPr>
      <w:r>
        <w:drawing>
          <wp:inline>
            <wp:extent cx="5334000" cy="4953485"/>
            <wp:effectExtent b="0" l="0" r="0" t="0"/>
            <wp:docPr descr="Рис. 13: Некоторые операции для работы с массивами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Некоторые операции для работы с массивами</w:t>
      </w:r>
    </w:p>
    <w:bookmarkEnd w:id="75"/>
    <w:bookmarkStart w:id="79" w:name="fig:014"/>
    <w:p>
      <w:pPr>
        <w:pStyle w:val="CaptionedFigure"/>
      </w:pPr>
      <w:r>
        <w:drawing>
          <wp:inline>
            <wp:extent cx="5334000" cy="4052498"/>
            <wp:effectExtent b="0" l="0" r="0" t="0"/>
            <wp:docPr descr="Рис. 14: Некоторые операции для работы с массивами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Некоторые операции для работы с массивами</w:t>
      </w:r>
    </w:p>
    <w:bookmarkEnd w:id="79"/>
    <w:bookmarkEnd w:id="80"/>
    <w:bookmarkStart w:id="109" w:name="самостоятельная-работ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Выполнение заданий №1 и №2 (рис. 15):</w:t>
      </w:r>
    </w:p>
    <w:bookmarkStart w:id="84" w:name="fig:015"/>
    <w:p>
      <w:pPr>
        <w:pStyle w:val="CaptionedFigure"/>
      </w:pPr>
      <w:r>
        <w:drawing>
          <wp:inline>
            <wp:extent cx="5334000" cy="2851031"/>
            <wp:effectExtent b="0" l="0" r="0" t="0"/>
            <wp:docPr descr="Рис. 15: Выполнение заданий №1 и №2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Выполнение заданий №1 и №2</w:t>
      </w:r>
    </w:p>
    <w:bookmarkEnd w:id="84"/>
    <w:p>
      <w:pPr>
        <w:pStyle w:val="BodyText"/>
      </w:pPr>
      <w:r>
        <w:t xml:space="preserve">Выполнение задания №3 (всех подпунктов) (рис. 16 - рис. 20):</w:t>
      </w:r>
    </w:p>
    <w:bookmarkStart w:id="88" w:name="fig:016"/>
    <w:p>
      <w:pPr>
        <w:pStyle w:val="CaptionedFigure"/>
      </w:pPr>
      <w:r>
        <w:drawing>
          <wp:inline>
            <wp:extent cx="5334000" cy="2161830"/>
            <wp:effectExtent b="0" l="0" r="0" t="0"/>
            <wp:docPr descr="Рис. 16: Выполнение задания №3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Выполнение задания №3</w:t>
      </w:r>
    </w:p>
    <w:bookmarkEnd w:id="88"/>
    <w:bookmarkStart w:id="92" w:name="fig:017"/>
    <w:p>
      <w:pPr>
        <w:pStyle w:val="CaptionedFigure"/>
      </w:pPr>
      <w:r>
        <w:drawing>
          <wp:inline>
            <wp:extent cx="5334000" cy="2068967"/>
            <wp:effectExtent b="0" l="0" r="0" t="0"/>
            <wp:docPr descr="Рис. 17: Выполнение задания №3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Выполнение задания №3</w:t>
      </w:r>
    </w:p>
    <w:bookmarkEnd w:id="92"/>
    <w:bookmarkStart w:id="96" w:name="fig:018"/>
    <w:p>
      <w:pPr>
        <w:pStyle w:val="CaptionedFigure"/>
      </w:pPr>
      <w:r>
        <w:drawing>
          <wp:inline>
            <wp:extent cx="5334000" cy="2284945"/>
            <wp:effectExtent b="0" l="0" r="0" t="0"/>
            <wp:docPr descr="Рис. 18: Выполнение задания №3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Выполнение задания №3</w:t>
      </w:r>
    </w:p>
    <w:bookmarkEnd w:id="96"/>
    <w:bookmarkStart w:id="100" w:name="fig:019"/>
    <w:p>
      <w:pPr>
        <w:pStyle w:val="CaptionedFigure"/>
      </w:pPr>
      <w:r>
        <w:drawing>
          <wp:inline>
            <wp:extent cx="5334000" cy="2700476"/>
            <wp:effectExtent b="0" l="0" r="0" t="0"/>
            <wp:docPr descr="Рис. 19: Выполнение задания №3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Выполнение задания №3</w:t>
      </w:r>
    </w:p>
    <w:bookmarkEnd w:id="100"/>
    <w:bookmarkStart w:id="104" w:name="fig:020"/>
    <w:p>
      <w:pPr>
        <w:pStyle w:val="CaptionedFigure"/>
      </w:pPr>
      <w:r>
        <w:drawing>
          <wp:inline>
            <wp:extent cx="5334000" cy="2862496"/>
            <wp:effectExtent b="0" l="0" r="0" t="0"/>
            <wp:docPr descr="Рис. 20: Выполнение задания №3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Выполнение задания №3</w:t>
      </w:r>
    </w:p>
    <w:bookmarkEnd w:id="104"/>
    <w:p>
      <w:pPr>
        <w:pStyle w:val="BodyText"/>
      </w:pPr>
      <w:r>
        <w:t xml:space="preserve">Выполнение заданий №4, №5 и №6 (рис. 21):</w:t>
      </w:r>
    </w:p>
    <w:bookmarkStart w:id="108" w:name="fig:021"/>
    <w:p>
      <w:pPr>
        <w:pStyle w:val="CaptionedFigure"/>
      </w:pPr>
      <w:r>
        <w:drawing>
          <wp:inline>
            <wp:extent cx="175255" cy="95250"/>
            <wp:effectExtent b="0" l="0" r="0" t="0"/>
            <wp:docPr descr="Рис. 21: Выполнение заданий №4, №5 и №6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5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Выполнение заданий №4, №5 и №6</w:t>
      </w:r>
    </w:p>
    <w:bookmarkEnd w:id="108"/>
    <w:bookmarkEnd w:id="109"/>
    <w:bookmarkEnd w:id="110"/>
    <w:bookmarkStart w:id="11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изучены несколько структур данных, реализованных в Julia,</w:t>
      </w:r>
      <w:r>
        <w:t xml:space="preserve"> </w:t>
      </w:r>
      <w:r>
        <w:t xml:space="preserve">а также научились применять их и операции над ними для решения задач.</w:t>
      </w:r>
    </w:p>
    <w:bookmarkEnd w:id="111"/>
    <w:bookmarkStart w:id="112" w:name="список-литературы.-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Julia Documentation: https://docs.julialang.org/en/v1/</w:t>
      </w:r>
    </w:p>
    <w:bookmarkEnd w:id="1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Еюбоглу Тимур</dc:creator>
  <dc:language>ru-RU</dc:language>
  <cp:keywords/>
  <dcterms:created xsi:type="dcterms:W3CDTF">2025-09-26T14:41:05Z</dcterms:created>
  <dcterms:modified xsi:type="dcterms:W3CDTF">2025-09-26T14:41:05Z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Компьютерный практикум по статистическому анализу данных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