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29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Еюбоглу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</w:t>
      </w:r>
      <w:r>
        <w:t xml:space="preserve"> </w:t>
      </w:r>
      <w:r>
        <w:t xml:space="preserve">Mininet по исследованию параметров сети, связанных с потерей, дублированием, изменением порядка</w:t>
      </w:r>
      <w:r>
        <w:t xml:space="preserve"> </w:t>
      </w:r>
      <w:r>
        <w:t xml:space="preserve">и повреждением пакетов при передаче данных. Эти параметры влияют на производительность протоколов и сетей.</w:t>
      </w:r>
    </w:p>
    <w:bookmarkEnd w:id="20"/>
    <w:bookmarkStart w:id="14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виртуальной машине mininet исправим права запуска X-соединения (рис. 1):</w:t>
      </w:r>
    </w:p>
    <w:bookmarkStart w:id="24" w:name="fig:001"/>
    <w:p>
      <w:pPr>
        <w:pStyle w:val="CaptionedFigure"/>
      </w:pPr>
      <w:r>
        <w:drawing>
          <wp:inline>
            <wp:extent cx="5334000" cy="1363708"/>
            <wp:effectExtent b="0" l="0" r="0" t="0"/>
            <wp:docPr descr="Рис. 1: Исправление прав запуска X-соединения в виртуальной машине minine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3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Исправление прав запуска X-соединения в виртуальной машине mininet</w:t>
      </w:r>
    </w:p>
    <w:bookmarkEnd w:id="24"/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</w:t>
      </w:r>
      <w:r>
        <w:t xml:space="preserve"> </w:t>
      </w:r>
      <w:r>
        <w:t xml:space="preserve">умолчанию mininet сетью 10.0.0.0/8 (рис. 2):</w:t>
      </w:r>
    </w:p>
    <w:bookmarkStart w:id="28" w:name="fig:002"/>
    <w:p>
      <w:pPr>
        <w:pStyle w:val="CaptionedFigure"/>
      </w:pPr>
      <w:r>
        <w:drawing>
          <wp:inline>
            <wp:extent cx="5334000" cy="3299557"/>
            <wp:effectExtent b="0" l="0" r="0" t="0"/>
            <wp:docPr descr="Рис. 2: Создание простейшей топологи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простейшей топологии</w:t>
      </w:r>
    </w:p>
    <w:bookmarkEnd w:id="28"/>
    <w:p>
      <w:pPr>
        <w:pStyle w:val="BodyText"/>
      </w:pPr>
      <w:r>
        <w:t xml:space="preserve">На хостах h1 и h2 введём команду ifconfig, чтобы отобразить информацию, относящуюся к их сетевым</w:t>
      </w:r>
      <w:r>
        <w:t xml:space="preserve"> </w:t>
      </w:r>
      <w:r>
        <w:t xml:space="preserve">интерфейсам и назначенным им IP-адресам. В дальнейшем при работе с NETEM и командой tc</w:t>
      </w:r>
      <w:r>
        <w:t xml:space="preserve"> </w:t>
      </w:r>
      <w:r>
        <w:t xml:space="preserve">будут использоваться интерфейсы h1-eth0 и h2-eth0 (рис. 3):</w:t>
      </w:r>
    </w:p>
    <w:bookmarkStart w:id="32" w:name="fig:003"/>
    <w:p>
      <w:pPr>
        <w:pStyle w:val="CaptionedFigure"/>
      </w:pPr>
      <w:r>
        <w:drawing>
          <wp:inline>
            <wp:extent cx="5334000" cy="2855057"/>
            <wp:effectExtent b="0" l="0" r="0" t="0"/>
            <wp:docPr descr="Рис. 3: Отображение информации их сетевых интерфейсов и IP-адрес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Отображение информации их сетевых интерфейсов и IP-адресов</w:t>
      </w:r>
    </w:p>
    <w:bookmarkEnd w:id="32"/>
    <w:p>
      <w:pPr>
        <w:pStyle w:val="BodyText"/>
      </w:pPr>
      <w:r>
        <w:t xml:space="preserve">Проверим подключение между хостами h1 и h2 с помощью команды ping с параметром -c 6 (рис. 4):</w:t>
      </w:r>
    </w:p>
    <w:bookmarkStart w:id="36" w:name="fig:004"/>
    <w:p>
      <w:pPr>
        <w:pStyle w:val="CaptionedFigure"/>
      </w:pPr>
      <w:r>
        <w:drawing>
          <wp:inline>
            <wp:extent cx="5334000" cy="1760903"/>
            <wp:effectExtent b="0" l="0" r="0" t="0"/>
            <wp:docPr descr="Рис. 4: Проверка подключения между хостами h1 и h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подключения между хостами h1 и h2</w:t>
      </w:r>
    </w:p>
    <w:bookmarkEnd w:id="36"/>
    <w:p>
      <w:pPr>
        <w:pStyle w:val="BodyText"/>
      </w:pPr>
      <w:r>
        <w:t xml:space="preserve">На хосте h1 добавим 10% потерь пакетов к интерфейсу h1-eth0 (рис. 5):</w:t>
      </w:r>
    </w:p>
    <w:bookmarkStart w:id="40" w:name="fig:005"/>
    <w:p>
      <w:pPr>
        <w:pStyle w:val="CaptionedFigure"/>
      </w:pPr>
      <w:r>
        <w:drawing>
          <wp:inline>
            <wp:extent cx="5334000" cy="512884"/>
            <wp:effectExtent b="0" l="0" r="0" t="0"/>
            <wp:docPr descr="Рис. 5: Добавление 10% потерь пакетов на хосте h1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10% потерь пакетов на хосте h1</w:t>
      </w:r>
    </w:p>
    <w:bookmarkEnd w:id="40"/>
    <w:p>
      <w:pPr>
        <w:pStyle w:val="BodyText"/>
      </w:pPr>
      <w:r>
        <w:t xml:space="preserve">Проверим, что на соединении от хоста h1 к хосту h2 имеются потери пакетов, используя команду ping с параметром -c 100</w:t>
      </w:r>
      <w:r>
        <w:t xml:space="preserve"> </w:t>
      </w:r>
      <w:r>
        <w:t xml:space="preserve">с хоста h1 (рис. 6):</w:t>
      </w:r>
    </w:p>
    <w:bookmarkStart w:id="44" w:name="fig:006"/>
    <w:p>
      <w:pPr>
        <w:pStyle w:val="CaptionedFigure"/>
      </w:pPr>
      <w:r>
        <w:drawing>
          <wp:inline>
            <wp:extent cx="5334000" cy="3983403"/>
            <wp:effectExtent b="0" l="0" r="0" t="0"/>
            <wp:docPr descr="Рис. 6: Проверк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bookmarkEnd w:id="44"/>
    <w:p>
      <w:pPr>
        <w:pStyle w:val="BodyText"/>
      </w:pPr>
      <w:r>
        <w:t xml:space="preserve">Для эмуляции глобальной сети с потерей пакетов в обоих направлениях необходимо</w:t>
      </w:r>
      <w:r>
        <w:t xml:space="preserve"> </w:t>
      </w:r>
      <w:r>
        <w:t xml:space="preserve">к соответствующему интерфейсу на хосте h2 также добавить 10% потерь пакетов (рис. 7):</w:t>
      </w:r>
    </w:p>
    <w:bookmarkStart w:id="48" w:name="fig:007"/>
    <w:p>
      <w:pPr>
        <w:pStyle w:val="CaptionedFigure"/>
      </w:pPr>
      <w:r>
        <w:drawing>
          <wp:inline>
            <wp:extent cx="5334000" cy="564173"/>
            <wp:effectExtent b="0" l="0" r="0" t="0"/>
            <wp:docPr descr="Рис. 7: Добавление 10% потерь пакетов на хосте h2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10% потерь пакетов на хосте h2</w:t>
      </w:r>
    </w:p>
    <w:bookmarkEnd w:id="48"/>
    <w:p>
      <w:pPr>
        <w:pStyle w:val="BodyText"/>
      </w:pPr>
      <w:r>
        <w:t xml:space="preserve">Проверим, что соединение между хостом h1 и хостом h2 имеет больший процент потерянных данных</w:t>
      </w:r>
      <w:r>
        <w:t xml:space="preserve"> </w:t>
      </w:r>
      <w:r>
        <w:t xml:space="preserve">(10% от хоста h1 к хосту h2 и 10% от хоста h2 к хосту h1), повторив команду ping</w:t>
      </w:r>
      <w:r>
        <w:t xml:space="preserve"> </w:t>
      </w:r>
      <w:r>
        <w:t xml:space="preserve">с параметром -c 100 на терминале хоста h1 (рис. 8):</w:t>
      </w:r>
    </w:p>
    <w:bookmarkStart w:id="52" w:name="fig:008"/>
    <w:p>
      <w:pPr>
        <w:pStyle w:val="CaptionedFigure"/>
      </w:pPr>
      <w:r>
        <w:drawing>
          <wp:inline>
            <wp:extent cx="5334000" cy="3820990"/>
            <wp:effectExtent b="0" l="0" r="0" t="0"/>
            <wp:docPr descr="Рис. 8: Проверка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bookmarkEnd w:id="52"/>
    <w:p>
      <w:pPr>
        <w:pStyle w:val="BodyText"/>
      </w:pPr>
      <w:r>
        <w:t xml:space="preserve">Восстановим конфигурацию по умолчанию, удалив все правила, применённые к сетевому планировщику</w:t>
      </w:r>
      <w:r>
        <w:t xml:space="preserve"> </w:t>
      </w:r>
      <w:r>
        <w:t xml:space="preserve">соответствующего интерфейса (рис. 9):</w:t>
      </w:r>
    </w:p>
    <w:bookmarkStart w:id="56" w:name="fig:009"/>
    <w:p>
      <w:pPr>
        <w:pStyle w:val="CaptionedFigure"/>
      </w:pPr>
      <w:r>
        <w:drawing>
          <wp:inline>
            <wp:extent cx="5334000" cy="384663"/>
            <wp:effectExtent b="0" l="0" r="0" t="0"/>
            <wp:docPr descr="Рис. 9: Восстановление конфигурации по умолчанию для хоста h1 и хоста h2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Восстановление конфигурации по умолчанию для хоста h1 и хоста h2</w:t>
      </w:r>
    </w:p>
    <w:bookmarkEnd w:id="56"/>
    <w:p>
      <w:pPr>
        <w:pStyle w:val="BodyText"/>
      </w:pPr>
      <w:r>
        <w:t xml:space="preserve">Убедимся, что соединение от хоста h1 к хосту h2 не имеет явной потери пакетов,</w:t>
      </w:r>
      <w:r>
        <w:t xml:space="preserve"> </w:t>
      </w:r>
      <w:r>
        <w:t xml:space="preserve">запустив команду ping с терминала хоста h1 и затем нажав Ctrl + c , чтобы остановить тест (рис. 10):</w:t>
      </w:r>
    </w:p>
    <w:bookmarkStart w:id="60" w:name="fig:010"/>
    <w:p>
      <w:pPr>
        <w:pStyle w:val="CaptionedFigure"/>
      </w:pPr>
      <w:r>
        <w:drawing>
          <wp:inline>
            <wp:extent cx="5334000" cy="1803644"/>
            <wp:effectExtent b="0" l="0" r="0" t="0"/>
            <wp:docPr descr="Рис. 10: Провер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</w:t>
      </w:r>
    </w:p>
    <w:bookmarkEnd w:id="60"/>
    <w:p>
      <w:pPr>
        <w:pStyle w:val="BodyText"/>
      </w:pPr>
      <w:r>
        <w:t xml:space="preserve">Добавим на интерфейсе узла h1 коэффициент потери пакетов 50% (такой высокий уровень потери</w:t>
      </w:r>
      <w:r>
        <w:t xml:space="preserve"> </w:t>
      </w:r>
      <w:r>
        <w:t xml:space="preserve">пакетов маловероятен), и каждая последующая вероятность зависит на 50% от последней (рис. 11):</w:t>
      </w:r>
    </w:p>
    <w:bookmarkStart w:id="64" w:name="fig:011"/>
    <w:p>
      <w:pPr>
        <w:pStyle w:val="CaptionedFigure"/>
      </w:pPr>
      <w:r>
        <w:drawing>
          <wp:inline>
            <wp:extent cx="5334000" cy="512884"/>
            <wp:effectExtent b="0" l="0" r="0" t="0"/>
            <wp:docPr descr="Рис. 11: Добавление на узле h1 коэффициента потери пакетов 50%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на узле h1 коэффициента потери пакетов 50%</w:t>
      </w:r>
    </w:p>
    <w:bookmarkEnd w:id="64"/>
    <w:p>
      <w:pPr>
        <w:pStyle w:val="BodyText"/>
      </w:pPr>
      <w:r>
        <w:t xml:space="preserve">Проверим, что на соединении от хоста h1 к хосту h2 имеются потери пакетов, используя команду</w:t>
      </w:r>
      <w:r>
        <w:t xml:space="preserve"> </w:t>
      </w:r>
      <w:r>
        <w:t xml:space="preserve">ping с параметром -c 50 с хоста h1 (рис. 12):</w:t>
      </w:r>
    </w:p>
    <w:bookmarkStart w:id="68" w:name="fig:012"/>
    <w:p>
      <w:pPr>
        <w:pStyle w:val="CaptionedFigure"/>
      </w:pPr>
      <w:r>
        <w:drawing>
          <wp:inline>
            <wp:extent cx="5334000" cy="3889375"/>
            <wp:effectExtent b="0" l="0" r="0" t="0"/>
            <wp:docPr descr="Рис. 12: Провер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</w:t>
      </w:r>
    </w:p>
    <w:bookmarkEnd w:id="68"/>
    <w:p>
      <w:pPr>
        <w:pStyle w:val="BodyText"/>
      </w:pPr>
      <w:r>
        <w:t xml:space="preserve">Восстановим конфигурацию интерфейса по умолчанию на узле h1 (рис. 13):</w:t>
      </w:r>
    </w:p>
    <w:bookmarkStart w:id="72" w:name="fig:013"/>
    <w:p>
      <w:pPr>
        <w:pStyle w:val="CaptionedFigure"/>
      </w:pPr>
      <w:r>
        <w:drawing>
          <wp:inline>
            <wp:extent cx="5334000" cy="401759"/>
            <wp:effectExtent b="0" l="0" r="0" t="0"/>
            <wp:docPr descr="Рис. 13: Восстановление конфигурации интерфейса по умолчанию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Восстановление конфигурации интерфейса по умолчанию</w:t>
      </w:r>
    </w:p>
    <w:bookmarkEnd w:id="72"/>
    <w:p>
      <w:pPr>
        <w:pStyle w:val="BodyText"/>
      </w:pPr>
      <w:r>
        <w:t xml:space="preserve">Добавим на интерфейсе узла h1 0,01% повреждения пакетов (рис. 14):</w:t>
      </w:r>
    </w:p>
    <w:bookmarkStart w:id="76" w:name="fig:014"/>
    <w:p>
      <w:pPr>
        <w:pStyle w:val="CaptionedFigure"/>
      </w:pPr>
      <w:r>
        <w:drawing>
          <wp:inline>
            <wp:extent cx="5334000" cy="367567"/>
            <wp:effectExtent b="0" l="0" r="0" t="0"/>
            <wp:docPr descr="Рис. 14: Добавление на узле h1 0.01% повреждения пакет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Добавление на узле h1 0.01% повреждения пакетов</w:t>
      </w:r>
    </w:p>
    <w:bookmarkEnd w:id="76"/>
    <w:p>
      <w:pPr>
        <w:pStyle w:val="BodyText"/>
      </w:pPr>
      <w:r>
        <w:t xml:space="preserve">Проверим конфигурацию с помощью инструмента iPerf3 для проверки</w:t>
      </w:r>
      <w:r>
        <w:t xml:space="preserve"> </w:t>
      </w:r>
      <w:r>
        <w:t xml:space="preserve">повторных передач. Для этого запустим iPerf3 в режиме сервера в терминале хоста h2,</w:t>
      </w:r>
      <w:r>
        <w:t xml:space="preserve"> </w:t>
      </w:r>
      <w:r>
        <w:t xml:space="preserve">запустим iPerf3 в клиентском режиме в терминале хоста h1 (рис. 15):</w:t>
      </w:r>
    </w:p>
    <w:bookmarkStart w:id="80" w:name="fig:015"/>
    <w:p>
      <w:pPr>
        <w:pStyle w:val="CaptionedFigure"/>
      </w:pPr>
      <w:r>
        <w:drawing>
          <wp:inline>
            <wp:extent cx="5334000" cy="2735384"/>
            <wp:effectExtent b="0" l="0" r="0" t="0"/>
            <wp:docPr descr="Рис. 15: Проверка конфигурации с помощью инструмента iPerf3 для проверки повторных передач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конфигурации с помощью инструмента iPerf3 для проверки повторных передач</w:t>
      </w:r>
    </w:p>
    <w:bookmarkEnd w:id="80"/>
    <w:p>
      <w:pPr>
        <w:pStyle w:val="BodyText"/>
      </w:pPr>
      <w:r>
        <w:t xml:space="preserve">Восстановим для узла h1 конфигурацию по умолчанию (рис. 16):</w:t>
      </w:r>
    </w:p>
    <w:bookmarkStart w:id="84" w:name="fig:016"/>
    <w:p>
      <w:pPr>
        <w:pStyle w:val="CaptionedFigure"/>
      </w:pPr>
      <w:r>
        <w:drawing>
          <wp:inline>
            <wp:extent cx="5334000" cy="324826"/>
            <wp:effectExtent b="0" l="0" r="0" t="0"/>
            <wp:docPr descr="Рис. 16: Восстановление конфигурации интерфейса по умолчанию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Восстановление конфигурации интерфейса по умолчанию</w:t>
      </w:r>
    </w:p>
    <w:bookmarkEnd w:id="84"/>
    <w:p>
      <w:pPr>
        <w:pStyle w:val="BodyText"/>
      </w:pPr>
      <w:r>
        <w:t xml:space="preserve">Добавим на интерфейсе узла h1 правило из лабораторной работы (рис. 17):</w:t>
      </w:r>
    </w:p>
    <w:bookmarkStart w:id="88" w:name="fig:017"/>
    <w:p>
      <w:pPr>
        <w:pStyle w:val="CaptionedFigure"/>
      </w:pPr>
      <w:r>
        <w:drawing>
          <wp:inline>
            <wp:extent cx="5334000" cy="487240"/>
            <wp:effectExtent b="0" l="0" r="0" t="0"/>
            <wp:docPr descr="Рис. 17: Добавление на узле h1 правила из лабораторной работы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Добавление на узле h1 правила из лабораторной работы</w:t>
      </w:r>
    </w:p>
    <w:bookmarkEnd w:id="88"/>
    <w:p>
      <w:pPr>
        <w:pStyle w:val="BodyText"/>
      </w:pPr>
      <w:r>
        <w:t xml:space="preserve">Проверим, что на соединении от хоста h1 к хосту h2 имеются потери пакетов, используя команду ping</w:t>
      </w:r>
      <w:r>
        <w:t xml:space="preserve"> </w:t>
      </w:r>
      <w:r>
        <w:t xml:space="preserve">с параметром -c 20 с хоста h1. Убедимся, что часть пакетов не будут иметь задержки</w:t>
      </w:r>
      <w:r>
        <w:t xml:space="preserve"> </w:t>
      </w:r>
      <w:r>
        <w:t xml:space="preserve">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 (рис. 18):</w:t>
      </w:r>
    </w:p>
    <w:bookmarkStart w:id="92" w:name="fig:018"/>
    <w:p>
      <w:pPr>
        <w:pStyle w:val="CaptionedFigure"/>
      </w:pPr>
      <w:r>
        <w:drawing>
          <wp:inline>
            <wp:extent cx="5334000" cy="2615711"/>
            <wp:effectExtent b="0" l="0" r="0" t="0"/>
            <wp:docPr descr="Рис. 18: Проверка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</w:t>
      </w:r>
    </w:p>
    <w:bookmarkEnd w:id="92"/>
    <w:p>
      <w:pPr>
        <w:pStyle w:val="BodyText"/>
      </w:pPr>
      <w:r>
        <w:t xml:space="preserve">Восстановим конфигурацию интерфейса по умолчанию на узле h1 (рис. 19):</w:t>
      </w:r>
    </w:p>
    <w:bookmarkStart w:id="96" w:name="fig:019"/>
    <w:p>
      <w:pPr>
        <w:pStyle w:val="CaptionedFigure"/>
      </w:pPr>
      <w:r>
        <w:drawing>
          <wp:inline>
            <wp:extent cx="5334000" cy="401759"/>
            <wp:effectExtent b="0" l="0" r="0" t="0"/>
            <wp:docPr descr="Рис. 19: Восстановление конфигурации интерфейса по умолчанию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Восстановление конфигурации интерфейса по умолчанию</w:t>
      </w:r>
    </w:p>
    <w:bookmarkEnd w:id="96"/>
    <w:p>
      <w:pPr>
        <w:pStyle w:val="BodyText"/>
      </w:pPr>
      <w:r>
        <w:t xml:space="preserve">Для интерфейса узла h1 зададим правило c дублированием 50% пакетов (т.е. 50% пакетов должны</w:t>
      </w:r>
      <w:r>
        <w:t xml:space="preserve"> </w:t>
      </w:r>
      <w:r>
        <w:t xml:space="preserve">быть получены дважды) (рис. 20):</w:t>
      </w:r>
    </w:p>
    <w:bookmarkStart w:id="100" w:name="fig:020"/>
    <w:p>
      <w:pPr>
        <w:pStyle w:val="CaptionedFigure"/>
      </w:pPr>
      <w:r>
        <w:drawing>
          <wp:inline>
            <wp:extent cx="5334000" cy="418855"/>
            <wp:effectExtent b="0" l="0" r="0" t="0"/>
            <wp:docPr descr="Рис. 20: Добавление на узле h1 правила с дублированием 50% пакетов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Добавление на узле h1 правила с дублированием 50% пакетов</w:t>
      </w:r>
    </w:p>
    <w:bookmarkEnd w:id="100"/>
    <w:p>
      <w:pPr>
        <w:pStyle w:val="BodyText"/>
      </w:pPr>
      <w:r>
        <w:t xml:space="preserve">Проверим, что на соединении от хоста h1 к хосту h2 имеются дублированные пакеты, используя</w:t>
      </w:r>
      <w:r>
        <w:t xml:space="preserve"> </w:t>
      </w:r>
      <w:r>
        <w:t xml:space="preserve">команду ping с параметром -c 20 с хоста h1. Дубликаты пакетов помечаются как DUP!.</w:t>
      </w:r>
      <w:r>
        <w:t xml:space="preserve"> </w:t>
      </w:r>
      <w:r>
        <w:t xml:space="preserve">Измеренная скорость дублирования пакетов будет приближаться к настроенной скорости по мере</w:t>
      </w:r>
      <w:r>
        <w:t xml:space="preserve"> </w:t>
      </w:r>
      <w:r>
        <w:t xml:space="preserve">выполнения большего количества попыток (рис. 21):</w:t>
      </w:r>
    </w:p>
    <w:bookmarkStart w:id="104" w:name="fig:021"/>
    <w:p>
      <w:pPr>
        <w:pStyle w:val="CaptionedFigure"/>
      </w:pPr>
      <w:r>
        <w:drawing>
          <wp:inline>
            <wp:extent cx="5334000" cy="3718413"/>
            <wp:effectExtent b="0" l="0" r="0" t="0"/>
            <wp:docPr descr="Рис. 21: Проверка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</w:t>
      </w:r>
    </w:p>
    <w:bookmarkEnd w:id="104"/>
    <w:p>
      <w:pPr>
        <w:pStyle w:val="BodyText"/>
      </w:pPr>
      <w:r>
        <w:t xml:space="preserve">Восстановим конфигурацию интерфейса по умолчанию на узле h1 (рис. 22):</w:t>
      </w:r>
    </w:p>
    <w:bookmarkStart w:id="108" w:name="fig:022"/>
    <w:p>
      <w:pPr>
        <w:pStyle w:val="CaptionedFigure"/>
      </w:pPr>
      <w:r>
        <w:drawing>
          <wp:inline>
            <wp:extent cx="5334000" cy="410307"/>
            <wp:effectExtent b="0" l="0" r="0" t="0"/>
            <wp:docPr descr="Рис. 22: Восстановление конфигурации интерфейса по умолчанию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Восстановление конфигурации интерфейса по умолчанию</w:t>
      </w:r>
    </w:p>
    <w:bookmarkEnd w:id="108"/>
    <w:p>
      <w:pPr>
        <w:pStyle w:val="BodyText"/>
      </w:pPr>
      <w:r>
        <w:t xml:space="preserve">Для каждого воспроизводимого эксперимента expname создадим свой каталог,</w:t>
      </w:r>
      <w:r>
        <w:t xml:space="preserve"> </w:t>
      </w:r>
      <w:r>
        <w:t xml:space="preserve">в котором будут размещаться файлы эксперимента (рис. 23):</w:t>
      </w:r>
    </w:p>
    <w:bookmarkStart w:id="112" w:name="fig:023"/>
    <w:p>
      <w:pPr>
        <w:pStyle w:val="CaptionedFigure"/>
      </w:pPr>
      <w:r>
        <w:drawing>
          <wp:inline>
            <wp:extent cx="5334000" cy="259976"/>
            <wp:effectExtent b="0" l="0" r="0" t="0"/>
            <wp:docPr descr="Рис. 23: Создание каталога expname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каталога expname</w:t>
      </w:r>
    </w:p>
    <w:bookmarkEnd w:id="112"/>
    <w:p>
      <w:pPr>
        <w:pStyle w:val="BodyText"/>
      </w:pPr>
      <w:r>
        <w:t xml:space="preserve">В виртуальной среде mininet в своём рабочем каталоге с проектами создадим каталог simple-drop и перейдём в него (рис. 24):</w:t>
      </w:r>
    </w:p>
    <w:bookmarkStart w:id="116" w:name="fig:024"/>
    <w:p>
      <w:pPr>
        <w:pStyle w:val="CaptionedFigure"/>
      </w:pPr>
      <w:r>
        <w:drawing>
          <wp:inline>
            <wp:extent cx="5334000" cy="666750"/>
            <wp:effectExtent b="0" l="0" r="0" t="0"/>
            <wp:docPr descr="Рис. 24: Создание каталога simple-drop и дальнейшее его открытие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каталога simple-drop и дальнейшее его открытие</w:t>
      </w:r>
    </w:p>
    <w:bookmarkEnd w:id="116"/>
    <w:p>
      <w:pPr>
        <w:pStyle w:val="BodyText"/>
      </w:pPr>
      <w:r>
        <w:t xml:space="preserve">Создадим скрипт для эксперимента lab_netem_ii.py (рис. 25):</w:t>
      </w:r>
    </w:p>
    <w:bookmarkStart w:id="120" w:name="fig:025"/>
    <w:p>
      <w:pPr>
        <w:pStyle w:val="CaptionedFigure"/>
      </w:pPr>
      <w:r>
        <w:drawing>
          <wp:inline>
            <wp:extent cx="5334000" cy="4709990"/>
            <wp:effectExtent b="0" l="0" r="0" t="0"/>
            <wp:docPr descr="Рис. 25: Создание скрипта для эксперимента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9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скрипта для эксперимента</w:t>
      </w:r>
    </w:p>
    <w:bookmarkEnd w:id="120"/>
    <w:p>
      <w:pPr>
        <w:pStyle w:val="BodyText"/>
      </w:pPr>
      <w:r>
        <w:t xml:space="preserve">Затем создадим скрипт, чтобы на экран или в отдельный файл выводилась информация о потерях пакетов (рис. 26):</w:t>
      </w:r>
    </w:p>
    <w:bookmarkStart w:id="124" w:name="fig:026"/>
    <w:p>
      <w:pPr>
        <w:pStyle w:val="CaptionedFigure"/>
      </w:pPr>
      <w:r>
        <w:drawing>
          <wp:inline>
            <wp:extent cx="5334000" cy="2496038"/>
            <wp:effectExtent b="0" l="0" r="0" t="0"/>
            <wp:docPr descr="Рис. 26: Создание нового скрипта для вывода информации о потере пакетов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нового скрипта для вывода информации о потере пакетов</w:t>
      </w:r>
    </w:p>
    <w:bookmarkEnd w:id="124"/>
    <w:p>
      <w:pPr>
        <w:pStyle w:val="BodyText"/>
      </w:pPr>
      <w:r>
        <w:t xml:space="preserve">Создадим Makefile для управления процессом проведения эксперимента (рис. 27):</w:t>
      </w:r>
    </w:p>
    <w:bookmarkStart w:id="128" w:name="fig:027"/>
    <w:p>
      <w:pPr>
        <w:pStyle w:val="CaptionedFigure"/>
      </w:pPr>
      <w:r>
        <w:drawing>
          <wp:inline>
            <wp:extent cx="5334000" cy="1418980"/>
            <wp:effectExtent b="0" l="0" r="0" t="0"/>
            <wp:docPr descr="Рис. 27: Создание Makefile и помещение в него скрипта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8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Создание Makefile и помещение в него скрипта</w:t>
      </w:r>
    </w:p>
    <w:bookmarkEnd w:id="128"/>
    <w:p>
      <w:pPr>
        <w:pStyle w:val="BodyText"/>
      </w:pPr>
      <w:r>
        <w:t xml:space="preserve">Выполним эксперимент и далее очистим каталог от результатов проведения экспериментов (рис. 28):</w:t>
      </w:r>
    </w:p>
    <w:bookmarkStart w:id="132" w:name="fig:028"/>
    <w:p>
      <w:pPr>
        <w:pStyle w:val="CaptionedFigure"/>
      </w:pPr>
      <w:r>
        <w:drawing>
          <wp:inline>
            <wp:extent cx="5334000" cy="5299807"/>
            <wp:effectExtent b="0" l="0" r="0" t="0"/>
            <wp:docPr descr="Рис. 28: Выполнение эксперимента и последующая очистка каталог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Выполнение эксперимента и последующая очистка каталога</w:t>
      </w:r>
    </w:p>
    <w:bookmarkEnd w:id="132"/>
    <w:p>
      <w:pPr>
        <w:pStyle w:val="BodyText"/>
      </w:pPr>
      <w:r>
        <w:t xml:space="preserve">Далее реализуем воспроизводимые эксперименты по исследованию параметров сети, связанных</w:t>
      </w:r>
      <w:r>
        <w:t xml:space="preserve"> </w:t>
      </w:r>
      <w:r>
        <w:t xml:space="preserve">с потерей, изменением порядка и повреждением пакетов при передаче данных (рис. 29 - рис. 32):</w:t>
      </w:r>
    </w:p>
    <w:bookmarkStart w:id="136" w:name="fig:029"/>
    <w:p>
      <w:pPr>
        <w:pStyle w:val="CaptionedFigure"/>
      </w:pPr>
      <w:r>
        <w:drawing>
          <wp:inline>
            <wp:extent cx="5334000" cy="4308230"/>
            <wp:effectExtent b="0" l="0" r="0" t="0"/>
            <wp:docPr descr="Рис. 29: Реализация воспроизводимого эксперимента по исследованию параметров сети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Реализация воспроизводимого эксперимента по исследованию параметров сети</w:t>
      </w:r>
    </w:p>
    <w:bookmarkEnd w:id="136"/>
    <w:bookmarkStart w:id="140" w:name="fig:030"/>
    <w:p>
      <w:pPr>
        <w:pStyle w:val="CaptionedFigure"/>
      </w:pPr>
      <w:r>
        <w:drawing>
          <wp:inline>
            <wp:extent cx="5334000" cy="4017596"/>
            <wp:effectExtent b="0" l="0" r="0" t="0"/>
            <wp:docPr descr="Рис. 30: Реализация воспроизводимого эксперимента по исследованию параметров сети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Реализация воспроизводимого эксперимента по исследованию параметров сети</w:t>
      </w:r>
    </w:p>
    <w:bookmarkEnd w:id="140"/>
    <w:bookmarkStart w:id="144" w:name="fig:031"/>
    <w:p>
      <w:pPr>
        <w:pStyle w:val="CaptionedFigure"/>
      </w:pPr>
      <w:r>
        <w:drawing>
          <wp:inline>
            <wp:extent cx="5334000" cy="4009048"/>
            <wp:effectExtent b="0" l="0" r="0" t="0"/>
            <wp:docPr descr="Рис. 31: Реализация воспроизводимого эксперимента по исследованию параметров сети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Реализация воспроизводимого эксперимента по исследованию параметров сети</w:t>
      </w:r>
    </w:p>
    <w:bookmarkEnd w:id="144"/>
    <w:bookmarkStart w:id="148" w:name="fig:032"/>
    <w:p>
      <w:pPr>
        <w:pStyle w:val="CaptionedFigure"/>
      </w:pPr>
      <w:r>
        <w:drawing>
          <wp:inline>
            <wp:extent cx="5334000" cy="4085980"/>
            <wp:effectExtent b="0" l="0" r="0" t="0"/>
            <wp:docPr descr="Рис. 32: Реализация воспроизводимого эксперимента по исследованию параметров сети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Реализация воспроизводимого эксперимента по исследованию параметров сети</w:t>
      </w:r>
    </w:p>
    <w:bookmarkEnd w:id="148"/>
    <w:bookmarkEnd w:id="149"/>
    <w:bookmarkStart w:id="15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получили навыки проведения интерактивных экспериментов в</w:t>
      </w:r>
      <w:r>
        <w:t xml:space="preserve"> </w:t>
      </w:r>
      <w:r>
        <w:t xml:space="preserve">среде Mininet по исследованию параметров сети, связанных с потерей, дублированием, изменением порядка</w:t>
      </w:r>
      <w:r>
        <w:t xml:space="preserve"> </w:t>
      </w:r>
      <w:r>
        <w:t xml:space="preserve">и повреждением пакетов при передаче данных.</w:t>
      </w:r>
    </w:p>
    <w:bookmarkEnd w:id="150"/>
    <w:bookmarkStart w:id="151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29" Target="media/rId29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Еюбоглу Тимур</dc:creator>
  <dc:language>ru-RU</dc:language>
  <cp:keywords/>
  <dcterms:created xsi:type="dcterms:W3CDTF">2025-11-08T16:16:21Z</dcterms:created>
  <dcterms:modified xsi:type="dcterms:W3CDTF">2025-11-08T16:16:21Z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Компьютерный практикум по статистическому анализу данных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