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6</w:t>
      </w:r>
    </w:p>
    <w:p>
      <w:pPr>
        <w:pStyle w:val="Subtitle"/>
      </w:pPr>
      <w:r>
        <w:t xml:space="preserve">Статическая маршрутизация VLAN</w:t>
      </w:r>
    </w:p>
    <w:p>
      <w:pPr>
        <w:pStyle w:val="Author"/>
      </w:pPr>
      <w:r>
        <w:t xml:space="preserve">Еюбоглу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в локальную сеть маршрутизатор, провести его первоначальную</w:t>
      </w:r>
      <w:r>
        <w:t xml:space="preserve"> </w:t>
      </w:r>
      <w:r>
        <w:t xml:space="preserve">настройку.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VLAN.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  <w:r>
        <w:t xml:space="preserve"> </w:t>
      </w:r>
      <w:r>
        <w:t xml:space="preserve">(см. раздел 2.5).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логической области проекта размещаем маршрутизатор Cisco 2811, подключаем его к порту 24 коммутатора msk-donskaya-teyuboglu-sw-1, в соответствии с таблицей портов (рис. 1).</w:t>
      </w:r>
    </w:p>
    <w:bookmarkStart w:id="25" w:name="fig:001"/>
    <w:p>
      <w:pPr>
        <w:pStyle w:val="CaptionedFigure"/>
      </w:pPr>
      <w:r>
        <w:drawing>
          <wp:inline>
            <wp:extent cx="3733800" cy="1442060"/>
            <wp:effectExtent b="0" l="0" r="0" t="0"/>
            <wp:docPr descr="Рис. 1: Размещение маршрутизато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маршрутизатора</w:t>
      </w:r>
    </w:p>
    <w:bookmarkEnd w:id="25"/>
    <w:p>
      <w:pPr>
        <w:numPr>
          <w:ilvl w:val="0"/>
          <w:numId w:val="1003"/>
        </w:numPr>
      </w:pPr>
      <w:r>
        <w:t xml:space="preserve">Используя приведённую ниже последовательность команд по первоначальной настройке маршрутизатора, сконфигурируем маршрутизатор, задав на нём имя, пароль для доступа к консоли, настройте удалённое подключение к нему по ssh.</w:t>
      </w:r>
    </w:p>
    <w:p>
      <w:pPr>
        <w:numPr>
          <w:ilvl w:val="0"/>
          <w:numId w:val="1003"/>
        </w:numPr>
      </w:pPr>
      <w:r>
        <w:t xml:space="preserve">Настраиваем порт 24 коммутатора msk-donskaya-teyuboglu-sw-1 (рис. 2).</w:t>
      </w:r>
    </w:p>
    <w:bookmarkStart w:id="29" w:name="fig:002"/>
    <w:p>
      <w:pPr>
        <w:pStyle w:val="CaptionedFigure"/>
      </w:pPr>
      <w:r>
        <w:drawing>
          <wp:inline>
            <wp:extent cx="3733800" cy="1783128"/>
            <wp:effectExtent b="0" l="0" r="0" t="0"/>
            <wp:docPr descr="Рис. 2: Конфигурация маршрутизатор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маршрутизатора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На интерфейсе f0/0 маршрутизатора msk-donskaya-teyuboglu-gw-1 настроим виртуальные интерфейсы, соответствующие номерам VLAN. Согласно таблице IP-адресов (см. табл. 3.2 из раздела 3.3) задаем соответствующие IPадреса на виртуальных интерфейсах. Для этого используем приведённую ниже последовательность команд по конфигурации VLAN-интерфейсов маршрутизатора (рис. 3) (рис. 4).</w:t>
      </w:r>
    </w:p>
    <w:bookmarkStart w:id="33" w:name="fig:003"/>
    <w:p>
      <w:pPr>
        <w:pStyle w:val="CaptionedFigure"/>
      </w:pPr>
      <w:r>
        <w:drawing>
          <wp:inline>
            <wp:extent cx="3733800" cy="1771161"/>
            <wp:effectExtent b="0" l="0" r="0" t="0"/>
            <wp:docPr descr="Рис. 3: Настройка виртуальных интерфейс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виртуальных интерфейсов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3189287"/>
            <wp:effectExtent b="0" l="0" r="0" t="0"/>
            <wp:docPr descr="Рис. 4: Настройка виртуальных интерфейс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виртуальных интерфейсов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Проверяем доступность оконечных устройств из разных Vlan (рис. 5).</w:t>
      </w:r>
    </w:p>
    <w:bookmarkStart w:id="41" w:name="fig:005"/>
    <w:p>
      <w:pPr>
        <w:pStyle w:val="CaptionedFigure"/>
      </w:pPr>
      <w:r>
        <w:drawing>
          <wp:inline>
            <wp:extent cx="3733800" cy="3153385"/>
            <wp:effectExtent b="0" l="0" r="0" t="0"/>
            <wp:docPr descr="Рис. 5: Проверка доступност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доступности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Используя режим симуляции в Packet Tracer, изучаем процесс передвижения пакета ICMP по сети. Изучаем содержимое передаваемого пакета и заголовки задействованных протоколов (рис. 6) (рис. 7).</w:t>
      </w:r>
    </w:p>
    <w:bookmarkStart w:id="45" w:name="fig:006"/>
    <w:p>
      <w:pPr>
        <w:pStyle w:val="CaptionedFigure"/>
      </w:pPr>
      <w:r>
        <w:drawing>
          <wp:inline>
            <wp:extent cx="3733800" cy="1471978"/>
            <wp:effectExtent b="0" l="0" r="0" t="0"/>
            <wp:docPr descr="Рис. 6: Режим симуляции и изучение содержимого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симуляции и изучение содержимого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3747654"/>
            <wp:effectExtent b="0" l="0" r="0" t="0"/>
            <wp:docPr descr="Рис. 7: Режим симуляции и изучение содержимого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Режим симуляции и изучение содержимого</w:t>
      </w:r>
    </w:p>
    <w:bookmarkEnd w:id="49"/>
    <w:bookmarkEnd w:id="50"/>
    <w:bookmarkStart w:id="51" w:name="конфигурация-устройств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Конфигурация устройств</w:t>
      </w:r>
    </w:p>
    <w:p>
      <w:pPr>
        <w:pStyle w:val="FirstParagraph"/>
      </w:pPr>
      <w:r>
        <w:t xml:space="preserve">msk-donskaya-teyuboglu-gw-1#show running-config</w:t>
      </w:r>
      <w:r>
        <w:t xml:space="preserve"> </w:t>
      </w:r>
      <w:r>
        <w:t xml:space="preserve">Building configuration…</w:t>
      </w:r>
    </w:p>
    <w:p>
      <w:pPr>
        <w:pStyle w:val="BodyText"/>
      </w:pPr>
      <w:r>
        <w:t xml:space="preserve">Current configuration : 1500 bytes</w:t>
      </w:r>
      <w:r>
        <w:t xml:space="preserve"> </w:t>
      </w:r>
      <w:r>
        <w:t xml:space="preserve">!</w:t>
      </w:r>
      <w:r>
        <w:t xml:space="preserve"> </w:t>
      </w:r>
      <w:r>
        <w:t xml:space="preserve">version 15.1</w:t>
      </w:r>
      <w:r>
        <w:t xml:space="preserve"> </w:t>
      </w:r>
      <w:r>
        <w:t xml:space="preserve">no service timestamps log datetime msec</w:t>
      </w:r>
      <w:r>
        <w:t xml:space="preserve"> </w:t>
      </w:r>
      <w:r>
        <w:t xml:space="preserve">no service timestamps debug datetime msec</w:t>
      </w:r>
      <w:r>
        <w:t xml:space="preserve"> </w:t>
      </w:r>
      <w:r>
        <w:t xml:space="preserve">service password-encryption</w:t>
      </w:r>
      <w:r>
        <w:t xml:space="preserve"> </w:t>
      </w:r>
      <w:r>
        <w:t xml:space="preserve">!</w:t>
      </w:r>
      <w:r>
        <w:t xml:space="preserve"> </w:t>
      </w:r>
      <w:r>
        <w:t xml:space="preserve">hostname msk-donskaya-teyuboglu-gw-1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enable secret 5</w:t>
      </w:r>
      <w:r>
        <w:t xml:space="preserve"> </w:t>
      </w:r>
      <m:oMath>
        <m:r>
          <m:t>1</m:t>
        </m:r>
      </m:oMath>
      <w:r>
        <w:t xml:space="preserve">mERr$hx5rVt7rPNoS4wqbXKX7m0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ip cef</w:t>
      </w:r>
      <w:r>
        <w:t xml:space="preserve"> </w:t>
      </w:r>
      <w:r>
        <w:t xml:space="preserve">no ipv6 cef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username admin secret 5</w:t>
      </w:r>
      <w:r>
        <w:t xml:space="preserve"> </w:t>
      </w:r>
      <m:oMath>
        <m:r>
          <m:t>1</m:t>
        </m:r>
      </m:oMath>
      <w:r>
        <w:t xml:space="preserve">mERr$hx5rVt7rPNoS4wqbXKX7m0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license udi pid CISCO2811/K9 sn FTX10178MO4-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ip ssh version 1</w:t>
      </w:r>
      <w:r>
        <w:t xml:space="preserve"> </w:t>
      </w:r>
      <w:r>
        <w:t xml:space="preserve">ip domain-name donskaya.rudn.edu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spanning-tree mode pvst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</w:t>
      </w:r>
      <w:r>
        <w:t xml:space="preserve"> </w:t>
      </w:r>
      <w:r>
        <w:t xml:space="preserve">no ip address</w:t>
      </w:r>
      <w:r>
        <w:t xml:space="preserve"> </w:t>
      </w:r>
      <w:r>
        <w:t xml:space="preserve">duplex auto</w:t>
      </w:r>
      <w:r>
        <w:t xml:space="preserve"> </w:t>
      </w:r>
      <w:r>
        <w:t xml:space="preserve">speed auto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FastEthernet0/0.2</w:t>
      </w:r>
      <w:r>
        <w:t xml:space="preserve"> </w:t>
      </w:r>
      <w:r>
        <w:t xml:space="preserve">description managment</w:t>
      </w:r>
      <w:r>
        <w:t xml:space="preserve"> </w:t>
      </w:r>
      <w:r>
        <w:t xml:space="preserve">encapsulation dot1Q 2</w:t>
      </w:r>
      <w:r>
        <w:t xml:space="preserve"> </w:t>
      </w:r>
      <w:r>
        <w:t xml:space="preserve">ip address 10.128.1.1 255.255.255.0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FastEthernet0/0.3</w:t>
      </w:r>
      <w:r>
        <w:t xml:space="preserve"> </w:t>
      </w:r>
      <w:r>
        <w:t xml:space="preserve">description servers</w:t>
      </w:r>
      <w:r>
        <w:t xml:space="preserve"> </w:t>
      </w:r>
      <w:r>
        <w:t xml:space="preserve">encapsulation dot1Q 3</w:t>
      </w:r>
      <w:r>
        <w:t xml:space="preserve"> </w:t>
      </w:r>
      <w:r>
        <w:t xml:space="preserve">ip address 10.128.0.1 255.255.255.0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FastEthernet0/0.101</w:t>
      </w:r>
      <w:r>
        <w:t xml:space="preserve"> </w:t>
      </w:r>
      <w:r>
        <w:t xml:space="preserve">description dk</w:t>
      </w:r>
      <w:r>
        <w:t xml:space="preserve"> </w:t>
      </w:r>
      <w:r>
        <w:t xml:space="preserve">encapsulation dot1Q 101</w:t>
      </w:r>
      <w:r>
        <w:t xml:space="preserve"> </w:t>
      </w:r>
      <w:r>
        <w:t xml:space="preserve">ip address 10.128.3.1 255.255.255.0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FastEthernet0/0.102</w:t>
      </w:r>
      <w:r>
        <w:t xml:space="preserve"> </w:t>
      </w:r>
      <w:r>
        <w:t xml:space="preserve">description departments</w:t>
      </w:r>
      <w:r>
        <w:t xml:space="preserve"> </w:t>
      </w:r>
      <w:r>
        <w:t xml:space="preserve">encapsulation dot1Q 102</w:t>
      </w:r>
      <w:r>
        <w:t xml:space="preserve"> </w:t>
      </w:r>
      <w:r>
        <w:t xml:space="preserve">ip address 10.128.4.1 255.255.255.0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FastEthernet0/0.103</w:t>
      </w:r>
      <w:r>
        <w:t xml:space="preserve"> </w:t>
      </w:r>
      <w:r>
        <w:t xml:space="preserve">description adm</w:t>
      </w:r>
      <w:r>
        <w:t xml:space="preserve"> </w:t>
      </w:r>
      <w:r>
        <w:t xml:space="preserve">encapsulation dot1Q 103</w:t>
      </w:r>
      <w:r>
        <w:t xml:space="preserve"> </w:t>
      </w:r>
      <w:r>
        <w:t xml:space="preserve">ip address 10.128.5.1 255.255.255.0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FastEthernet0/0.104</w:t>
      </w:r>
      <w:r>
        <w:t xml:space="preserve"> </w:t>
      </w:r>
      <w:r>
        <w:t xml:space="preserve">description other</w:t>
      </w:r>
      <w:r>
        <w:t xml:space="preserve"> </w:t>
      </w:r>
      <w:r>
        <w:t xml:space="preserve">encapsulation dot1Q 104</w:t>
      </w:r>
      <w:r>
        <w:t xml:space="preserve"> </w:t>
      </w:r>
      <w:r>
        <w:t xml:space="preserve">ip address 10.128.6.1 255.255.255.0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</w:t>
      </w:r>
      <w:r>
        <w:t xml:space="preserve"> </w:t>
      </w:r>
      <w:r>
        <w:t xml:space="preserve">no ip address</w:t>
      </w:r>
      <w:r>
        <w:t xml:space="preserve"> </w:t>
      </w:r>
      <w:r>
        <w:t xml:space="preserve">duplex auto</w:t>
      </w:r>
      <w:r>
        <w:t xml:space="preserve"> </w:t>
      </w:r>
      <w:r>
        <w:t xml:space="preserve">speed auto</w:t>
      </w:r>
      <w:r>
        <w:t xml:space="preserve"> </w:t>
      </w:r>
      <w:r>
        <w:t xml:space="preserve">shutdown</w:t>
      </w:r>
      <w:r>
        <w:t xml:space="preserve"> </w:t>
      </w:r>
      <w:r>
        <w:t xml:space="preserve">!</w:t>
      </w:r>
      <w:r>
        <w:t xml:space="preserve"> </w:t>
      </w:r>
      <w:r>
        <w:t xml:space="preserve">interface Vlan1</w:t>
      </w:r>
      <w:r>
        <w:t xml:space="preserve"> </w:t>
      </w:r>
      <w:r>
        <w:t xml:space="preserve">no ip address</w:t>
      </w:r>
      <w:r>
        <w:t xml:space="preserve"> </w:t>
      </w:r>
      <w:r>
        <w:t xml:space="preserve">shutdown</w:t>
      </w:r>
      <w:r>
        <w:t xml:space="preserve"> </w:t>
      </w:r>
      <w:r>
        <w:t xml:space="preserve">!</w:t>
      </w:r>
      <w:r>
        <w:t xml:space="preserve"> </w:t>
      </w:r>
      <w:r>
        <w:t xml:space="preserve">ip classless</w:t>
      </w:r>
      <w:r>
        <w:t xml:space="preserve"> </w:t>
      </w:r>
      <w:r>
        <w:t xml:space="preserve">!</w:t>
      </w:r>
      <w:r>
        <w:t xml:space="preserve"> </w:t>
      </w:r>
      <w:r>
        <w:t xml:space="preserve">ip flow-export version 9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line con 0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line aux 0</w:t>
      </w:r>
      <w:r>
        <w:t xml:space="preserve"> </w:t>
      </w:r>
      <w:r>
        <w:t xml:space="preserve">!</w:t>
      </w:r>
      <w:r>
        <w:t xml:space="preserve"> </w:t>
      </w:r>
      <w:r>
        <w:t xml:space="preserve">line vty 0 4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end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Охарактеризуйте стандарт IEEE 802.1Q.</w:t>
      </w:r>
      <w:r>
        <w:t xml:space="preserve"> </w:t>
      </w:r>
      <w:r>
        <w:t xml:space="preserve">Виртуальные локальные сети, построенные на основе стандарта IEEE 802.1Q, используют дополнительные поля кадра для хранения информации о принадлежности к VLAN при его перемещении по сети. С точки зрения удобства и гибкости настроек, VLAN стандарта IEEE 802.1Qявляется лучшим решением по сравнению с VLAN на основе портов. Его основные преимущества:</w:t>
      </w:r>
      <w:r>
        <w:t xml:space="preserve"> </w:t>
      </w:r>
      <w:r>
        <w:t xml:space="preserve">Гибкость и удобство в настройке и изменении — можно создавать необходимые комбинации VLAN как в пределах одного коммутатора, так и во всей сети, построенной на коммутаторах с поддержкой стандарта IEEE 802.1Q. Способность добавления тегов позволяет информации о VLAN распространяться через множество 802.1Q-совместимых коммутаторов по одному физическому соединению (магистральному каналу, Trunk Link);</w:t>
      </w:r>
      <w:r>
        <w:t xml:space="preserve"> </w:t>
      </w:r>
      <w:r>
        <w:t xml:space="preserve">Позволяет активизировать алгоритм связующего дерева (Spanning Tree) на всех портах и работать в обычном режиме. Протокол Spanning Tree оказывается весьма полезным для применения в крупных сетях, построенных на нескольких коммутаторах, и позволяет коммутаторам автоматически определять древовидную конфигурацию связей в сети при произвольном соединении портов между собой. Для нормальной работы коммутатора требуется отсутствие замкнутых маршрутов в сети. Эти маршруты могут создаваться администратором специально для образования резервных связей или же возникать случайным образом, что вполне возможно, если сеть имеет многочисленные связи, а кабельная система плохо структурирована или документирована. С помощью протокола Spanning Tree коммутаторы после построения схемы сети блокируют избыточные маршруты. Таким образом, автоматически предотвращается возникновение петель в сети;</w:t>
      </w:r>
      <w:r>
        <w:t xml:space="preserve"> </w:t>
      </w:r>
      <w:r>
        <w:t xml:space="preserve">Способность VLAN IEEE 802.1Q добавлять и извлекать теги из заголовков кадров позволяет использовать в сети коммутаторы и сетевые устройства, которые не поддерживают стандарт IEEE 802.1Q;</w:t>
      </w:r>
      <w:r>
        <w:t xml:space="preserve"> </w:t>
      </w:r>
      <w:r>
        <w:t xml:space="preserve">Устройства разных производителей, поддерживающие стандарт, могут работать вместе, независимо от какого-либо фирменного решения;</w:t>
      </w:r>
      <w:r>
        <w:t xml:space="preserve"> </w:t>
      </w:r>
      <w:r>
        <w:t xml:space="preserve">Чтобы связать подсети на сетевом уровне, необходим маршрутизатор или коммутатор L3. Однако для более простых случаев, например, для организации доступа к серверу из различных VLAN, маршрутизатор не потребуется. Нужно включить порт коммутатора, к которому подключен сервер, во все подсети, а сетевой адаптер сервера должен поддерживать стандарт IEEE 802.1Q.</w:t>
      </w:r>
    </w:p>
    <w:p>
      <w:pPr>
        <w:numPr>
          <w:ilvl w:val="0"/>
          <w:numId w:val="1007"/>
        </w:numPr>
      </w:pPr>
      <w:r>
        <w:t xml:space="preserve">Опишите формат кадра IEEE 802.1Q.</w:t>
      </w:r>
      <w:r>
        <w:t xml:space="preserve"> </w:t>
      </w:r>
      <w:r>
        <w:t xml:space="preserve">К кадру Ethernet добавлены 32 бита (4 байта), которые увеличивают его размер до 1522 байт. Первые 2 байта (поле Tag Protocol Identifier, TPID) с фиксированным значением 0х8100 определяют, что кадр содержит тег протокола 802.1Q. Остальные 2 байта содержат следующую информацию:</w:t>
      </w:r>
      <w:r>
        <w:t xml:space="preserve"> </w:t>
      </w:r>
      <w:r>
        <w:t xml:space="preserve">• Priority (</w:t>
      </w:r>
      <w:r>
        <w:t xml:space="preserve">“Приоритет”</w:t>
      </w:r>
      <w:r>
        <w:t xml:space="preserve">) — 3 бита поля приоритета передачи кодируют до восьми уровней приоритета (от 0 до 7, где 7 — наивысший приоритет), которые используются в стандарте 802.1р;</w:t>
      </w:r>
      <w:r>
        <w:t xml:space="preserve"> </w:t>
      </w:r>
      <w:r>
        <w:t xml:space="preserve">• Canonical Format Indicator (CFI) — 1 бит индикатора канонического формата зарезервирован для обозначения кадров сетей других типов (Token Ring, FDDI), передаваемых по магистрали Ethernet;</w:t>
      </w:r>
      <w:r>
        <w:t xml:space="preserve"> </w:t>
      </w:r>
      <w:r>
        <w:t xml:space="preserve">• VID (VLAN ID) — 12-битный идентификатор VLAN определяет, какой VLAN принадлежит трафик. Поскольку под поле VID отведено 12 бит, то можно задать 4094 уникальных VLAN (VID 0 и VID 4095 зарезервированы).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выполнению данной лабораторной работы, мы научились настраивать статическую маршрутизацию VLAN в сети.</w:t>
      </w:r>
    </w:p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Еюбоглу Тимур</dc:creator>
  <dc:language>ru-RU</dc:language>
  <cp:keywords/>
  <dcterms:created xsi:type="dcterms:W3CDTF">2025-03-19T09:10:20Z</dcterms:created>
  <dcterms:modified xsi:type="dcterms:W3CDTF">2025-03-19T09:10:20Z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Статическая маршрутизация VLAN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