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№10</w:t>
      </w:r>
    </w:p>
    <w:p>
      <w:pPr>
        <w:pStyle w:val="Subtitle"/>
      </w:pPr>
      <w:r>
        <w:t xml:space="preserve">Настройка списков управления доступом ACL</w:t>
      </w:r>
    </w:p>
    <w:p>
      <w:pPr>
        <w:pStyle w:val="Author"/>
      </w:pPr>
      <w:r>
        <w:t xml:space="preserve">Еюбоглу Тимур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настройку прав доступа пользователей к ресурсам сети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Compact"/>
        <w:numPr>
          <w:ilvl w:val="0"/>
          <w:numId w:val="1001"/>
        </w:numPr>
      </w:pPr>
      <w:r>
        <w:t xml:space="preserve">web-сервер: разрешить доступ всем пользователям по протоколу HTTP через порт 80 протокола TCP, а для администратора открыть доступ по протоколам Telnet и FTP;</w:t>
      </w:r>
    </w:p>
    <w:p>
      <w:pPr>
        <w:pStyle w:val="Compact"/>
        <w:numPr>
          <w:ilvl w:val="0"/>
          <w:numId w:val="1001"/>
        </w:numPr>
      </w:pPr>
      <w:r>
        <w:t xml:space="preserve">файловый сервер: с внутренних адресов сети доступ открыт по портам для общедоступных каталогов, с внешних — доступ по протоколу FTP;</w:t>
      </w:r>
    </w:p>
    <w:p>
      <w:pPr>
        <w:pStyle w:val="Compact"/>
        <w:numPr>
          <w:ilvl w:val="0"/>
          <w:numId w:val="1001"/>
        </w:numPr>
      </w:pPr>
      <w:r>
        <w:t xml:space="preserve">почтовый сервер: разрешить пользователям работать по протоколам SMTP и POP3 (соответственно через порты 25 и 110 протокола TCP), а для администратора — открыть доступ по протоколам Telnet и FTP;</w:t>
      </w:r>
    </w:p>
    <w:p>
      <w:pPr>
        <w:pStyle w:val="Compact"/>
        <w:numPr>
          <w:ilvl w:val="0"/>
          <w:numId w:val="1001"/>
        </w:numPr>
      </w:pPr>
      <w:r>
        <w:t xml:space="preserve">DNS-сервер: открыть порт 53 протокола UDP для доступа из внутренней сети;</w:t>
      </w:r>
    </w:p>
    <w:p>
      <w:pPr>
        <w:pStyle w:val="Compact"/>
        <w:numPr>
          <w:ilvl w:val="0"/>
          <w:numId w:val="1001"/>
        </w:numPr>
      </w:pPr>
      <w:r>
        <w:t xml:space="preserve">разрешить icmp-сообщения, направленные в сеть серверов;</w:t>
      </w:r>
    </w:p>
    <w:p>
      <w:pPr>
        <w:pStyle w:val="Compact"/>
        <w:numPr>
          <w:ilvl w:val="0"/>
          <w:numId w:val="1001"/>
        </w:numPr>
      </w:pPr>
      <w:r>
        <w:t xml:space="preserve">запретить для сети Other любые запросы за пределы сети, за исключением администратора;</w:t>
      </w:r>
    </w:p>
    <w:p>
      <w:pPr>
        <w:pStyle w:val="Compact"/>
        <w:numPr>
          <w:ilvl w:val="0"/>
          <w:numId w:val="1001"/>
        </w:numPr>
      </w:pPr>
      <w:r>
        <w:t xml:space="preserve">разрешить доступ в сеть управления сетевым оборудованием только администратору сети</w:t>
      </w:r>
    </w:p>
    <w:bookmarkEnd w:id="21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На главном (и единственном) роутере создаем списки доступа:</w:t>
      </w:r>
      <w:r>
        <w:t xml:space="preserve"> </w:t>
      </w:r>
      <w:r>
        <w:t xml:space="preserve">Servers-out</w:t>
      </w:r>
      <w:r>
        <w:t xml:space="preserve"> </w:t>
      </w:r>
      <w:r>
        <w:t xml:space="preserve">разрешает доступ на веб-сервер по протоколу http для всех, telnet и ftp</w:t>
      </w:r>
      <w:r>
        <w:t xml:space="preserve"> </w:t>
      </w:r>
      <w:r>
        <w:t xml:space="preserve">только для администраторов.</w:t>
      </w:r>
      <w:r>
        <w:t xml:space="preserve"> </w:t>
      </w:r>
      <w:r>
        <w:t xml:space="preserve">Разрешает доступ на файловый сервер по протоколу SMB для</w:t>
      </w:r>
      <w:r>
        <w:t xml:space="preserve"> </w:t>
      </w:r>
      <w:r>
        <w:t xml:space="preserve">локальной сети и по FTP для всех</w:t>
      </w:r>
      <w:r>
        <w:t xml:space="preserve"> </w:t>
      </w:r>
      <w:r>
        <w:t xml:space="preserve">Разрешает доступ на почтовый сервер по протоколам SMTP и POP3</w:t>
      </w:r>
      <w:r>
        <w:t xml:space="preserve"> </w:t>
      </w:r>
      <w:r>
        <w:t xml:space="preserve">Разрешает прохождение dns-запросов</w:t>
      </w:r>
      <w:r>
        <w:t xml:space="preserve"> </w:t>
      </w:r>
      <w:r>
        <w:t xml:space="preserve">Разрешает пинг-запросы</w:t>
      </w:r>
      <w:r>
        <w:t xml:space="preserve"> </w:t>
      </w:r>
      <w:r>
        <w:t xml:space="preserve">Other-in</w:t>
      </w:r>
      <w:r>
        <w:t xml:space="preserve"> </w:t>
      </w:r>
      <w:r>
        <w:t xml:space="preserve">Разрешает доступ администраторам ко всем устройствам сети.</w:t>
      </w:r>
      <w:r>
        <w:t xml:space="preserve"> </w:t>
      </w:r>
      <w:r>
        <w:t xml:space="preserve">Остальные действия запрещает</w:t>
      </w:r>
      <w:r>
        <w:t xml:space="preserve"> </w:t>
      </w:r>
      <w:r>
        <w:t xml:space="preserve">Management-out</w:t>
      </w:r>
      <w:r>
        <w:t xml:space="preserve"> </w:t>
      </w:r>
      <w:r>
        <w:t xml:space="preserve">Разрешает доступ к управлению устройствами cisco только для</w:t>
      </w:r>
      <w:r>
        <w:t xml:space="preserve"> </w:t>
      </w:r>
      <w:r>
        <w:t xml:space="preserve">администраторов. (рис. 1) (рис. 2).</w:t>
      </w:r>
    </w:p>
    <w:bookmarkStart w:id="25" w:name="fig:001"/>
    <w:p>
      <w:pPr>
        <w:pStyle w:val="CaptionedFigure"/>
      </w:pPr>
      <w:r>
        <w:drawing>
          <wp:inline>
            <wp:extent cx="4267200" cy="2235200"/>
            <wp:effectExtent b="0" l="0" r="0" t="0"/>
            <wp:docPr descr="Рис. 1: Списки доступа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Списки доступа</w:t>
      </w:r>
    </w:p>
    <w:bookmarkEnd w:id="25"/>
    <w:bookmarkStart w:id="29" w:name="fig:002"/>
    <w:p>
      <w:pPr>
        <w:pStyle w:val="CaptionedFigure"/>
      </w:pPr>
      <w:r>
        <w:drawing>
          <wp:inline>
            <wp:extent cx="4267200" cy="2466753"/>
            <wp:effectExtent b="0" l="0" r="0" t="0"/>
            <wp:docPr descr="Рис. 2: Списки доступа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6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Списки доступа</w:t>
      </w:r>
    </w:p>
    <w:bookmarkEnd w:id="29"/>
    <w:p>
      <w:pPr>
        <w:pStyle w:val="Compact"/>
        <w:numPr>
          <w:ilvl w:val="0"/>
          <w:numId w:val="1003"/>
        </w:numPr>
      </w:pPr>
      <w:r>
        <w:t xml:space="preserve">Проверяем работу списков доступа. Компьютеры могут получить доступ к сайту организации (рис. 3) (рис. 4).</w:t>
      </w:r>
    </w:p>
    <w:bookmarkStart w:id="33" w:name="fig:003"/>
    <w:p>
      <w:pPr>
        <w:pStyle w:val="CaptionedFigure"/>
      </w:pPr>
      <w:r>
        <w:drawing>
          <wp:inline>
            <wp:extent cx="4267200" cy="2504558"/>
            <wp:effectExtent b="0" l="0" r="0" t="0"/>
            <wp:docPr descr="Рис. 3: Проверка работы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04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Проверка работы</w:t>
      </w:r>
    </w:p>
    <w:bookmarkEnd w:id="33"/>
    <w:bookmarkStart w:id="37" w:name="fig:004"/>
    <w:p>
      <w:pPr>
        <w:pStyle w:val="CaptionedFigure"/>
      </w:pPr>
      <w:r>
        <w:drawing>
          <wp:inline>
            <wp:extent cx="4267200" cy="2504558"/>
            <wp:effectExtent b="0" l="0" r="0" t="0"/>
            <wp:docPr descr="Рис. 4: Проверка работы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04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работы</w:t>
      </w:r>
    </w:p>
    <w:bookmarkEnd w:id="37"/>
    <w:p>
      <w:pPr>
        <w:pStyle w:val="Compact"/>
        <w:numPr>
          <w:ilvl w:val="0"/>
          <w:numId w:val="1004"/>
        </w:numPr>
      </w:pPr>
      <w:r>
        <w:t xml:space="preserve">При этом по FTP подключиться к web-серверу не получилось (рис. 5).</w:t>
      </w:r>
    </w:p>
    <w:bookmarkStart w:id="41" w:name="fig:005"/>
    <w:p>
      <w:pPr>
        <w:pStyle w:val="CaptionedFigure"/>
      </w:pPr>
      <w:r>
        <w:drawing>
          <wp:inline>
            <wp:extent cx="4267200" cy="1521637"/>
            <wp:effectExtent b="0" l="0" r="0" t="0"/>
            <wp:docPr descr="Рис. 5: Неудачное подключение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52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Неудачное подключение</w:t>
      </w:r>
    </w:p>
    <w:bookmarkEnd w:id="41"/>
    <w:p>
      <w:pPr>
        <w:pStyle w:val="Compact"/>
        <w:numPr>
          <w:ilvl w:val="0"/>
          <w:numId w:val="1005"/>
        </w:numPr>
      </w:pPr>
      <w:r>
        <w:t xml:space="preserve">Устанавливаем компьютер администратора (рис. 6).</w:t>
      </w:r>
    </w:p>
    <w:bookmarkStart w:id="45" w:name="fig:006"/>
    <w:p>
      <w:pPr>
        <w:pStyle w:val="CaptionedFigure"/>
      </w:pPr>
      <w:r>
        <w:drawing>
          <wp:inline>
            <wp:extent cx="4267200" cy="1961116"/>
            <wp:effectExtent b="0" l="0" r="0" t="0"/>
            <wp:docPr descr="Рис. 6: Компьютер администратора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61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Компьютер администратора</w:t>
      </w:r>
    </w:p>
    <w:bookmarkEnd w:id="45"/>
    <w:p>
      <w:pPr>
        <w:pStyle w:val="Compact"/>
        <w:numPr>
          <w:ilvl w:val="0"/>
          <w:numId w:val="1006"/>
        </w:numPr>
      </w:pPr>
      <w:r>
        <w:t xml:space="preserve">У администратора FTP работает (рис. 7).</w:t>
      </w:r>
    </w:p>
    <w:bookmarkStart w:id="49" w:name="fig:007"/>
    <w:p>
      <w:pPr>
        <w:pStyle w:val="CaptionedFigure"/>
      </w:pPr>
      <w:r>
        <w:drawing>
          <wp:inline>
            <wp:extent cx="4267200" cy="3274827"/>
            <wp:effectExtent b="0" l="0" r="0" t="0"/>
            <wp:docPr descr="Рис. 7: FTP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7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FTP</w:t>
      </w:r>
    </w:p>
    <w:bookmarkEnd w:id="49"/>
    <w:p>
      <w:pPr>
        <w:pStyle w:val="Compact"/>
        <w:numPr>
          <w:ilvl w:val="0"/>
          <w:numId w:val="1007"/>
        </w:numPr>
      </w:pPr>
      <w:r>
        <w:t xml:space="preserve">На файловый сервер по FTP могут подключаться и остальные пользователи (рис. 8).</w:t>
      </w:r>
    </w:p>
    <w:bookmarkStart w:id="53" w:name="fig:008"/>
    <w:p>
      <w:pPr>
        <w:pStyle w:val="CaptionedFigure"/>
      </w:pPr>
      <w:r>
        <w:drawing>
          <wp:inline>
            <wp:extent cx="4267200" cy="3274827"/>
            <wp:effectExtent b="0" l="0" r="0" t="0"/>
            <wp:docPr descr="Рис. 8: FTP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74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FTP</w:t>
      </w:r>
    </w:p>
    <w:bookmarkEnd w:id="53"/>
    <w:p>
      <w:pPr>
        <w:pStyle w:val="Compact"/>
        <w:numPr>
          <w:ilvl w:val="0"/>
          <w:numId w:val="1008"/>
        </w:numPr>
      </w:pPr>
      <w:r>
        <w:t xml:space="preserve">Пользователям из группы other(vlan 104) запрещены любые действия(рис. 9).</w:t>
      </w:r>
    </w:p>
    <w:bookmarkStart w:id="57" w:name="fig:009"/>
    <w:p>
      <w:pPr>
        <w:pStyle w:val="CaptionedFigure"/>
      </w:pPr>
      <w:r>
        <w:drawing>
          <wp:inline>
            <wp:extent cx="4267200" cy="3355162"/>
            <wp:effectExtent b="0" l="0" r="0" t="0"/>
            <wp:docPr descr="Рис. 9: Other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5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Other</w:t>
      </w:r>
    </w:p>
    <w:bookmarkEnd w:id="57"/>
    <w:p>
      <w:pPr>
        <w:pStyle w:val="Compact"/>
        <w:numPr>
          <w:ilvl w:val="0"/>
          <w:numId w:val="1009"/>
        </w:numPr>
      </w:pPr>
      <w:r>
        <w:t xml:space="preserve">Настроим почтовый сервер (рис. 10).</w:t>
      </w:r>
    </w:p>
    <w:bookmarkStart w:id="61" w:name="fig:010"/>
    <w:p>
      <w:pPr>
        <w:pStyle w:val="CaptionedFigure"/>
      </w:pPr>
      <w:r>
        <w:drawing>
          <wp:inline>
            <wp:extent cx="4267200" cy="3355162"/>
            <wp:effectExtent b="0" l="0" r="0" t="0"/>
            <wp:docPr descr="Рис. 10: Почтовый сервер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5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Почтовый сервер</w:t>
      </w:r>
    </w:p>
    <w:bookmarkEnd w:id="61"/>
    <w:p>
      <w:pPr>
        <w:pStyle w:val="Compact"/>
        <w:numPr>
          <w:ilvl w:val="0"/>
          <w:numId w:val="1010"/>
        </w:numPr>
      </w:pPr>
      <w:r>
        <w:t xml:space="preserve">Обмен письмами (рис. 11).</w:t>
      </w:r>
    </w:p>
    <w:bookmarkStart w:id="65" w:name="fig:011"/>
    <w:p>
      <w:pPr>
        <w:pStyle w:val="CaptionedFigure"/>
      </w:pPr>
      <w:r>
        <w:drawing>
          <wp:inline>
            <wp:extent cx="4267200" cy="3355162"/>
            <wp:effectExtent b="0" l="0" r="0" t="0"/>
            <wp:docPr descr="Рис. 11: Обмен письмам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5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Обмен письмами</w:t>
      </w:r>
    </w:p>
    <w:bookmarkEnd w:id="65"/>
    <w:p>
      <w:pPr>
        <w:pStyle w:val="Compact"/>
        <w:numPr>
          <w:ilvl w:val="0"/>
          <w:numId w:val="1011"/>
        </w:numPr>
      </w:pPr>
      <w:r>
        <w:t xml:space="preserve">Добавляем второго администратора (рис. 12).</w:t>
      </w:r>
    </w:p>
    <w:bookmarkStart w:id="69" w:name="fig:012"/>
    <w:p>
      <w:pPr>
        <w:pStyle w:val="CaptionedFigure"/>
      </w:pPr>
      <w:r>
        <w:drawing>
          <wp:inline>
            <wp:extent cx="4267200" cy="2391144"/>
            <wp:effectExtent b="0" l="0" r="0" t="0"/>
            <wp:docPr descr="Рис. 12: Второй администратор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9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Второй администратор</w:t>
      </w:r>
    </w:p>
    <w:bookmarkEnd w:id="69"/>
    <w:p>
      <w:pPr>
        <w:pStyle w:val="Compact"/>
        <w:numPr>
          <w:ilvl w:val="0"/>
          <w:numId w:val="1012"/>
        </w:numPr>
      </w:pPr>
      <w:r>
        <w:t xml:space="preserve">Он работает по FTP и SSH (рис. 13).</w:t>
      </w:r>
    </w:p>
    <w:bookmarkStart w:id="73" w:name="fig:013"/>
    <w:p>
      <w:pPr>
        <w:pStyle w:val="CaptionedFigure"/>
      </w:pPr>
      <w:r>
        <w:drawing>
          <wp:inline>
            <wp:extent cx="4267200" cy="3336260"/>
            <wp:effectExtent b="0" l="0" r="0" t="0"/>
            <wp:docPr descr="Рис. 13: Второй администратор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3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Второй администратор</w:t>
      </w:r>
    </w:p>
    <w:bookmarkEnd w:id="73"/>
    <w:p>
      <w:pPr>
        <w:pStyle w:val="Compact"/>
        <w:numPr>
          <w:ilvl w:val="0"/>
          <w:numId w:val="1013"/>
        </w:numPr>
      </w:pPr>
      <w:r>
        <w:t xml:space="preserve">Пользователи могут работать по SSH только с роутером (рис. 14).</w:t>
      </w:r>
    </w:p>
    <w:bookmarkStart w:id="77" w:name="fig:014"/>
    <w:p>
      <w:pPr>
        <w:pStyle w:val="CaptionedFigure"/>
      </w:pPr>
      <w:r>
        <w:drawing>
          <wp:inline>
            <wp:extent cx="4267200" cy="3336260"/>
            <wp:effectExtent b="0" l="0" r="0" t="0"/>
            <wp:docPr descr="Рис. 14: Пользователи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3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Пользователи</w:t>
      </w:r>
    </w:p>
    <w:bookmarkEnd w:id="77"/>
    <w:bookmarkEnd w:id="78"/>
    <w:bookmarkStart w:id="7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1 Как задать действие правила для конкретного протокола?</w:t>
      </w:r>
      <w:r>
        <w:t xml:space="preserve"> </w:t>
      </w:r>
      <w:r>
        <w:t xml:space="preserve">#permit tcp host 10.128.6.200 host 10.128.0.2 eq telnet после указания хостов пишется атрибут eq и после него протокол</w:t>
      </w:r>
      <w:r>
        <w:t xml:space="preserve"> </w:t>
      </w:r>
      <w:r>
        <w:t xml:space="preserve">2 Как задать действие правила сразу для нескольких портов?</w:t>
      </w:r>
      <w:r>
        <w:t xml:space="preserve"> </w:t>
      </w:r>
      <w:r>
        <w:t xml:space="preserve">#permit tcp any host 10.128.0.3 range 20 21 после указания хостов пишется атрибут range и диапазон портов</w:t>
      </w:r>
      <w:r>
        <w:t xml:space="preserve"> </w:t>
      </w:r>
      <w:r>
        <w:t xml:space="preserve">3 Как узнать номер правила в списке прав доступа?</w:t>
      </w:r>
      <w:r>
        <w:t xml:space="preserve"> </w:t>
      </w:r>
      <w:r>
        <w:t xml:space="preserve">командой show access-list</w:t>
      </w:r>
      <w:r>
        <w:t xml:space="preserve"> </w:t>
      </w:r>
      <w:r>
        <w:t xml:space="preserve">4 Каким образом можно изменить порядок применения правил в списке контроля доступа?</w:t>
      </w:r>
      <w:r>
        <w:t xml:space="preserve"> </w:t>
      </w:r>
      <w:r>
        <w:t xml:space="preserve">поставить цифру, указывающую на номер будущего правила, перед его формулировкой. Либо нужно экспортировать файл конфигурации и отредактировать его на другом устройстве, после чего импортировать обратно.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выполнению данной лабораторной работы, мы освоили настройку прав доступа пользователей к ресурсам сети</w:t>
      </w:r>
    </w:p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Еюбоглу Тимур</dc:creator>
  <dc:language>ru-RU</dc:language>
  <cp:keywords/>
  <dcterms:created xsi:type="dcterms:W3CDTF">2025-04-19T15:02:55Z</dcterms:created>
  <dcterms:modified xsi:type="dcterms:W3CDTF">2025-04-19T15:02:55Z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Настройка списков управления доступом ACL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