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Кибербезопасность предприятия</w:t>
      </w:r>
    </w:p>
    <w:p>
      <w:pPr>
        <w:pStyle w:val="Author"/>
      </w:pPr>
      <w:r>
        <w:t xml:space="preserve">Еюбоглу Т, Зиязетдинов А, Исаев Б|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Во внутреннем сегменте организации необходимо получить доступ к серверу базы данных (БД) и найти флаг в таблице БД «Flag»</w:t>
      </w:r>
    </w:p>
    <w:bookmarkEnd w:id="20"/>
    <w:bookmarkStart w:id="1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Перед началом атаки необходимо провести разведку путём сканирования. На основе исходных данных нужно определить адрес подсети, в которой находится целевой сервер — 195.239.174.0/24.</w:t>
      </w:r>
    </w:p>
    <w:p>
      <w:pPr>
        <w:pStyle w:val="BodyText"/>
      </w:pPr>
      <w:r>
        <w:t xml:space="preserve">Для обнаружения уязвимых узлов используется сканер nmap — это инструмент сканирования сетей, который позволяет настраивать сканирование с помощью передаваемых через командную строку флагов (рис. fig. 1).</w:t>
      </w:r>
    </w:p>
    <w:bookmarkStart w:id="24" w:name="fig:001"/>
    <w:p>
      <w:pPr>
        <w:pStyle w:val="CaptionedFigure"/>
      </w:pPr>
      <w:r>
        <w:drawing>
          <wp:inline>
            <wp:extent cx="5334000" cy="3495582"/>
            <wp:effectExtent b="0" l="0" r="0" t="0"/>
            <wp:docPr descr="Рис. 1: Разведк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Разведка</w:t>
      </w:r>
    </w:p>
    <w:bookmarkEnd w:id="24"/>
    <w:p>
      <w:pPr>
        <w:pStyle w:val="BodyText"/>
      </w:pPr>
      <w:r>
        <w:t xml:space="preserve">В результате сканирования обнаружено, что сервер с адресом 195.239.174.25 имеет открытый 80-й порт (HTTP). На этом порту располагается веб-портал с адресом portal.ampire.corp.</w:t>
      </w:r>
    </w:p>
    <w:p>
      <w:pPr>
        <w:pStyle w:val="BodyText"/>
      </w:pPr>
      <w:r>
        <w:t xml:space="preserve">Чтобы перейти на сайт этого портала, нужно добавить статическую запись в файл /etc/hosts. (рис. fig. 2).</w:t>
      </w:r>
    </w:p>
    <w:bookmarkStart w:id="28" w:name="fig:002"/>
    <w:p>
      <w:pPr>
        <w:pStyle w:val="CaptionedFigure"/>
      </w:pPr>
      <w:r>
        <w:drawing>
          <wp:inline>
            <wp:extent cx="5072513" cy="4504623"/>
            <wp:effectExtent b="0" l="0" r="0" t="0"/>
            <wp:docPr descr="Рис. 2: Адрес имеет открытый порт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513" cy="4504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Адрес имеет открытый порт</w:t>
      </w:r>
    </w:p>
    <w:bookmarkEnd w:id="28"/>
    <w:p>
      <w:pPr>
        <w:pStyle w:val="BodyText"/>
      </w:pPr>
      <w:r>
        <w:t xml:space="preserve">При переходе по адресу http://portal.ampire.corp в браузере откроется</w:t>
      </w:r>
      <w:r>
        <w:t xml:space="preserve"> </w:t>
      </w:r>
      <w:r>
        <w:t xml:space="preserve">сайт портала организации. В нижней части страницы портала можно</w:t>
      </w:r>
      <w:r>
        <w:t xml:space="preserve"> </w:t>
      </w:r>
      <w:r>
        <w:t xml:space="preserve">обнаружить информацию, что данный сайт создан с помощью CMS Wordpress (рис. fig. 3).</w:t>
      </w:r>
    </w:p>
    <w:bookmarkStart w:id="32" w:name="fig:003"/>
    <w:p>
      <w:pPr>
        <w:pStyle w:val="CaptionedFigure"/>
      </w:pPr>
      <w:r>
        <w:drawing>
          <wp:inline>
            <wp:extent cx="5334000" cy="2743932"/>
            <wp:effectExtent b="0" l="0" r="0" t="0"/>
            <wp:docPr descr="Рис. 3: Сайт создан с помощью CMS Wordpress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Сайт создан с помощью CMS Wordpress</w:t>
      </w:r>
    </w:p>
    <w:bookmarkEnd w:id="32"/>
    <w:p>
      <w:pPr>
        <w:pStyle w:val="BodyText"/>
      </w:pPr>
      <w:r>
        <w:t xml:space="preserve">Сайт работает на CMS Wordpress, поэтому для поиска возможных</w:t>
      </w:r>
      <w:r>
        <w:t xml:space="preserve"> </w:t>
      </w:r>
      <w:r>
        <w:t xml:space="preserve">векторов атаки можно произвести сканирование с помощью модуля Metasploit</w:t>
      </w:r>
      <w:r>
        <w:t xml:space="preserve"> </w:t>
      </w:r>
      <w:r>
        <w:t xml:space="preserve">wordpress_scanner.</w:t>
      </w:r>
      <w:r>
        <w:t xml:space="preserve"> </w:t>
      </w:r>
      <w:r>
        <w:t xml:space="preserve">Metasploit Framework – инструмент, содержащий множество модулей</w:t>
      </w:r>
      <w:r>
        <w:t xml:space="preserve"> </w:t>
      </w:r>
      <w:r>
        <w:t xml:space="preserve">для исследования и эксплуатации уязвимостей. Открыть фреймворк можно</w:t>
      </w:r>
      <w:r>
        <w:t xml:space="preserve"> </w:t>
      </w:r>
      <w:r>
        <w:t xml:space="preserve">либо через программный менеджер в графическом интерфейсе, либо через</w:t>
      </w:r>
      <w:r>
        <w:t xml:space="preserve"> </w:t>
      </w:r>
      <w:r>
        <w:t xml:space="preserve">команду msfconsole в терминале (рис. fig. 4).</w:t>
      </w:r>
    </w:p>
    <w:bookmarkStart w:id="36" w:name="fig:004"/>
    <w:p>
      <w:pPr>
        <w:pStyle w:val="CaptionedFigure"/>
      </w:pPr>
      <w:r>
        <w:drawing>
          <wp:inline>
            <wp:extent cx="5334000" cy="3792482"/>
            <wp:effectExtent b="0" l="0" r="0" t="0"/>
            <wp:docPr descr="Рис. 4: Открываем Metasploit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Открываем Metasploit</w:t>
      </w:r>
    </w:p>
    <w:bookmarkEnd w:id="36"/>
    <w:p>
      <w:pPr>
        <w:pStyle w:val="BodyText"/>
      </w:pPr>
      <w:r>
        <w:t xml:space="preserve">Для исследования CMS WordPress на уязвимости выбрать подходящий</w:t>
      </w:r>
      <w:r>
        <w:t xml:space="preserve"> </w:t>
      </w:r>
      <w:r>
        <w:t xml:space="preserve">модуль сканирования. Выполнить поиск подходящего модуля сканирования с</w:t>
      </w:r>
      <w:r>
        <w:t xml:space="preserve"> </w:t>
      </w:r>
      <w:r>
        <w:t xml:space="preserve">помощью команды search wordpress scanner (рис. fig. 5).</w:t>
      </w:r>
    </w:p>
    <w:bookmarkStart w:id="40" w:name="fig:005"/>
    <w:p>
      <w:pPr>
        <w:pStyle w:val="CaptionedFigure"/>
      </w:pPr>
      <w:r>
        <w:drawing>
          <wp:inline>
            <wp:extent cx="5334000" cy="4213338"/>
            <wp:effectExtent b="0" l="0" r="0" t="0"/>
            <wp:docPr descr="Рис. 5: Выбор подходящего модуля сканирован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3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Выбор подходящего модуля сканирования</w:t>
      </w:r>
    </w:p>
    <w:bookmarkEnd w:id="40"/>
    <w:p>
      <w:pPr>
        <w:pStyle w:val="BodyText"/>
      </w:pPr>
      <w:r>
        <w:t xml:space="preserve">Наиболее подходящим под требуемые задачи инструментом является</w:t>
      </w:r>
      <w:r>
        <w:t xml:space="preserve"> </w:t>
      </w:r>
      <w:r>
        <w:t xml:space="preserve">модуль 28 auxiliary/scanner/http/wordpress_scanner. Для выбора</w:t>
      </w:r>
      <w:r>
        <w:t xml:space="preserve"> </w:t>
      </w:r>
      <w:r>
        <w:t xml:space="preserve">данного модуля используется команда use 28.</w:t>
      </w:r>
      <w:r>
        <w:t xml:space="preserve"> </w:t>
      </w:r>
      <w:r>
        <w:t xml:space="preserve">Для правильной настройки модуля можно отобразить настраиваемые</w:t>
      </w:r>
      <w:r>
        <w:t xml:space="preserve"> </w:t>
      </w:r>
      <w:r>
        <w:t xml:space="preserve">параметры с помощью команды options (рис. fig. 6).</w:t>
      </w:r>
    </w:p>
    <w:bookmarkStart w:id="44" w:name="fig:006"/>
    <w:p>
      <w:pPr>
        <w:pStyle w:val="CaptionedFigure"/>
      </w:pPr>
      <w:r>
        <w:drawing>
          <wp:inline>
            <wp:extent cx="5334000" cy="3598740"/>
            <wp:effectExtent b="0" l="0" r="0" t="0"/>
            <wp:docPr descr="Рис. 6: Наиболее подходящим под требуемые задач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8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Наиболее подходящим под требуемые задачи</w:t>
      </w:r>
    </w:p>
    <w:bookmarkEnd w:id="44"/>
    <w:p>
      <w:pPr>
        <w:pStyle w:val="BodyText"/>
      </w:pPr>
      <w:r>
        <w:t xml:space="preserve">Для настройки модуля сканирования нужно задать параметр rhost,</w:t>
      </w:r>
      <w:r>
        <w:t xml:space="preserve"> </w:t>
      </w:r>
      <w:r>
        <w:t xml:space="preserve">который определяет цель сканирования. В данном случае целью выступает</w:t>
      </w:r>
      <w:r>
        <w:t xml:space="preserve"> </w:t>
      </w:r>
      <w:r>
        <w:t xml:space="preserve">portal.ampire.corp. Настройка производится с помощью команды set rhost</w:t>
      </w:r>
      <w:r>
        <w:t xml:space="preserve"> </w:t>
      </w:r>
      <w:r>
        <w:t xml:space="preserve">portal.ampire.corp. После настройки модуль запускается с помощью</w:t>
      </w:r>
      <w:r>
        <w:t xml:space="preserve"> </w:t>
      </w:r>
      <w:r>
        <w:t xml:space="preserve">команды run. Результатом сканирования является список используемых целевым</w:t>
      </w:r>
      <w:r>
        <w:t xml:space="preserve"> </w:t>
      </w:r>
      <w:r>
        <w:t xml:space="preserve">сервисом плагинов (рис. fig. 7).</w:t>
      </w:r>
    </w:p>
    <w:bookmarkStart w:id="48" w:name="fig:007"/>
    <w:p>
      <w:pPr>
        <w:pStyle w:val="CaptionedFigure"/>
      </w:pPr>
      <w:r>
        <w:drawing>
          <wp:inline>
            <wp:extent cx="5334000" cy="3598740"/>
            <wp:effectExtent b="0" l="0" r="0" t="0"/>
            <wp:docPr descr="Рис. 7: Задаем параметр rhost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8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Задаем параметр rhost</w:t>
      </w:r>
    </w:p>
    <w:bookmarkEnd w:id="48"/>
    <w:p>
      <w:pPr>
        <w:pStyle w:val="BodyText"/>
      </w:pPr>
      <w:r>
        <w:t xml:space="preserve">После сканирования можно проверить, являются ли детектированные</w:t>
      </w:r>
      <w:r>
        <w:t xml:space="preserve"> </w:t>
      </w:r>
      <w:r>
        <w:t xml:space="preserve">плагины уязвимыми, на скриншоте выделены зеленым цветом</w:t>
      </w:r>
    </w:p>
    <w:p>
      <w:pPr>
        <w:pStyle w:val="BodyText"/>
      </w:pPr>
      <w:r>
        <w:t xml:space="preserve">Уязвимость, связанная с данным плагином, заключается в возможности</w:t>
      </w:r>
      <w:r>
        <w:t xml:space="preserve"> </w:t>
      </w:r>
      <w:r>
        <w:t xml:space="preserve">загрузки произвольного файла на сервер с последующим удаленным</w:t>
      </w:r>
      <w:r>
        <w:t xml:space="preserve"> </w:t>
      </w:r>
      <w:r>
        <w:t xml:space="preserve">выполнением произвольного кода (RCE). Плагин разработан таким образом,</w:t>
      </w:r>
      <w:r>
        <w:t xml:space="preserve"> </w:t>
      </w:r>
      <w:r>
        <w:t xml:space="preserve">чтобы разрешать пользователям прикреплять к сообщениям только</w:t>
      </w:r>
      <w:r>
        <w:t xml:space="preserve"> </w:t>
      </w:r>
      <w:r>
        <w:t xml:space="preserve">изображения, но уязвимые версии WpDiscuz не могут корректно проверить</w:t>
      </w:r>
      <w:r>
        <w:t xml:space="preserve"> </w:t>
      </w:r>
      <w:r>
        <w:t xml:space="preserve">тип прикрепляемых файлов, в результате чего пользователи получают</w:t>
      </w:r>
      <w:r>
        <w:t xml:space="preserve"> </w:t>
      </w:r>
      <w:r>
        <w:t xml:space="preserve">возможность загружать на сервер файлы любого типа, включая файлы PHP.</w:t>
      </w:r>
      <w:r>
        <w:t xml:space="preserve"> </w:t>
      </w:r>
      <w:r>
        <w:t xml:space="preserve">Для эксплуатации данной уязвимости потребуется только адрес</w:t>
      </w:r>
      <w:r>
        <w:t xml:space="preserve"> </w:t>
      </w:r>
      <w:r>
        <w:t xml:space="preserve">атакуемой машины и ссылка на любой пост с возможностью</w:t>
      </w:r>
      <w:r>
        <w:t xml:space="preserve"> </w:t>
      </w:r>
      <w:r>
        <w:t xml:space="preserve">комментирования. IP-адрес атакуемой машины получен на первом этапе</w:t>
      </w:r>
      <w:r>
        <w:t xml:space="preserve"> </w:t>
      </w:r>
      <w:r>
        <w:t xml:space="preserve">сканирования, адрес поста можно получить при просмотре записи после</w:t>
      </w:r>
      <w:r>
        <w:t xml:space="preserve"> </w:t>
      </w:r>
      <w:r>
        <w:t xml:space="preserve">перехода по ссылке с главной страницы портала организации (рис. fig. 8).</w:t>
      </w:r>
    </w:p>
    <w:bookmarkStart w:id="52" w:name="fig:008"/>
    <w:p>
      <w:pPr>
        <w:pStyle w:val="CaptionedFigure"/>
      </w:pPr>
      <w:r>
        <w:drawing>
          <wp:inline>
            <wp:extent cx="2993456" cy="808522"/>
            <wp:effectExtent b="0" l="0" r="0" t="0"/>
            <wp:docPr descr="Рис. 8: Адрес пост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456" cy="808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Адрес поста</w:t>
      </w:r>
    </w:p>
    <w:bookmarkEnd w:id="52"/>
    <w:p>
      <w:pPr>
        <w:pStyle w:val="BodyText"/>
      </w:pPr>
      <w:r>
        <w:t xml:space="preserve">Для отмены выбора модуля необходимо набрать в командной строке</w:t>
      </w:r>
      <w:r>
        <w:t xml:space="preserve"> </w:t>
      </w:r>
      <w:r>
        <w:t xml:space="preserve">команду back. Далее осуществить поиск нужного exploit для выбранного</w:t>
      </w:r>
      <w:r>
        <w:t xml:space="preserve"> </w:t>
      </w:r>
      <w:r>
        <w:t xml:space="preserve">плагина search wordpress exploit wp_wpdiscuz (рис. fig. 9).</w:t>
      </w:r>
    </w:p>
    <w:bookmarkStart w:id="56" w:name="fig:009"/>
    <w:p>
      <w:pPr>
        <w:pStyle w:val="CaptionedFigure"/>
      </w:pPr>
      <w:r>
        <w:drawing>
          <wp:inline>
            <wp:extent cx="5334000" cy="854807"/>
            <wp:effectExtent b="0" l="0" r="0" t="0"/>
            <wp:docPr descr="Рис. 9: Выход из модуля и поиск exploit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Выход из модуля и поиск exploit</w:t>
      </w:r>
    </w:p>
    <w:bookmarkEnd w:id="56"/>
    <w:p>
      <w:pPr>
        <w:pStyle w:val="BodyText"/>
      </w:pPr>
      <w:r>
        <w:t xml:space="preserve">В консоли Metasploit отображается единственный найденный модуль</w:t>
      </w:r>
      <w:r>
        <w:t xml:space="preserve"> </w:t>
      </w:r>
      <w:r>
        <w:t xml:space="preserve">exploit unix/webapp/wp_wpdiscuz_unauthenticated_file_upload, который</w:t>
      </w:r>
      <w:r>
        <w:t xml:space="preserve"> </w:t>
      </w:r>
      <w:r>
        <w:t xml:space="preserve">можно выбрать (рис. fig. 10).</w:t>
      </w:r>
    </w:p>
    <w:bookmarkStart w:id="60" w:name="fig:010"/>
    <w:p>
      <w:pPr>
        <w:pStyle w:val="CaptionedFigure"/>
      </w:pPr>
      <w:r>
        <w:drawing>
          <wp:inline>
            <wp:extent cx="5334000" cy="3427778"/>
            <wp:effectExtent b="0" l="0" r="0" t="0"/>
            <wp:docPr descr="Рис. 10: Выбранный модуль (use 0)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Выбранный модуль (use 0)</w:t>
      </w:r>
    </w:p>
    <w:bookmarkEnd w:id="60"/>
    <w:p>
      <w:pPr>
        <w:pStyle w:val="BodyText"/>
      </w:pPr>
      <w:r>
        <w:t xml:space="preserve">Далее установить значения параметров для атаки (рис. fig. 11).</w:t>
      </w:r>
    </w:p>
    <w:bookmarkStart w:id="64" w:name="fig:011"/>
    <w:p>
      <w:pPr>
        <w:pStyle w:val="CaptionedFigure"/>
      </w:pPr>
      <w:r>
        <w:drawing>
          <wp:inline>
            <wp:extent cx="5334000" cy="1000125"/>
            <wp:effectExtent b="0" l="0" r="0" t="0"/>
            <wp:docPr descr="Рис. 11: Установка значений параметров для атаки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значений параметров для атаки</w:t>
      </w:r>
    </w:p>
    <w:bookmarkEnd w:id="64"/>
    <w:p>
      <w:pPr>
        <w:pStyle w:val="BodyText"/>
      </w:pPr>
      <w:r>
        <w:t xml:space="preserve">В результате запуска модуля будет получена meterpreter-сессия от имени</w:t>
      </w:r>
      <w:r>
        <w:t xml:space="preserve"> </w:t>
      </w:r>
      <w:r>
        <w:t xml:space="preserve">пользователя «www-data» (рис. fig. 12).</w:t>
      </w:r>
    </w:p>
    <w:bookmarkStart w:id="68" w:name="fig:012"/>
    <w:p>
      <w:pPr>
        <w:pStyle w:val="CaptionedFigure"/>
      </w:pPr>
      <w:r>
        <w:drawing>
          <wp:inline>
            <wp:extent cx="5334000" cy="1316403"/>
            <wp:effectExtent b="0" l="0" r="0" t="0"/>
            <wp:docPr descr="Рис. 12: Получение meterpreter-сессии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6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Получение meterpreter-сессии</w:t>
      </w:r>
    </w:p>
    <w:bookmarkEnd w:id="68"/>
    <w:p>
      <w:pPr>
        <w:pStyle w:val="BodyText"/>
      </w:pPr>
      <w:r>
        <w:t xml:space="preserve">Во внутреннем сегменте организации необходимо получить доступ к</w:t>
      </w:r>
      <w:r>
        <w:t xml:space="preserve"> </w:t>
      </w:r>
      <w:r>
        <w:t xml:space="preserve">серверу базы данных (БД) и найти флаг в таблице БД «Flag».</w:t>
      </w:r>
      <w:r>
        <w:t xml:space="preserve"> </w:t>
      </w:r>
      <w:r>
        <w:t xml:space="preserve">Для прохождения данного сценария в первую очередь потребуется</w:t>
      </w:r>
      <w:r>
        <w:t xml:space="preserve"> </w:t>
      </w:r>
      <w:r>
        <w:t xml:space="preserve">активная meterpreter-сессия с узлом в сегменте DMZ, находящимся под</w:t>
      </w:r>
      <w:r>
        <w:t xml:space="preserve"> </w:t>
      </w:r>
      <w:r>
        <w:t xml:space="preserve">управлением ОС семейства Linux. Это необходимо для выполнения bushскрипта. Вариант получения флага с использованием уязвимости на</w:t>
      </w:r>
      <w:r>
        <w:t xml:space="preserve"> </w:t>
      </w:r>
      <w:r>
        <w:t xml:space="preserve">корпоративном сайте представлен в соответствующем описании (Раздел 1).</w:t>
      </w:r>
      <w:r>
        <w:t xml:space="preserve"> </w:t>
      </w:r>
      <w:r>
        <w:t xml:space="preserve">Вариант получения meterpreter-сессии с корпоративным сайтом с</w:t>
      </w:r>
      <w:r>
        <w:t xml:space="preserve"> </w:t>
      </w:r>
      <w:r>
        <w:t xml:space="preserve">помощью модуля wp_wpdiscuz_unauthenticated_file_upload представлен</w:t>
      </w:r>
      <w:r>
        <w:t xml:space="preserve"> </w:t>
      </w:r>
      <w:r>
        <w:t xml:space="preserve">на скриншотах (рис. fig. 13).</w:t>
      </w:r>
    </w:p>
    <w:bookmarkStart w:id="72" w:name="fig:013"/>
    <w:p>
      <w:pPr>
        <w:pStyle w:val="CaptionedFigure"/>
      </w:pPr>
      <w:r>
        <w:drawing>
          <wp:inline>
            <wp:extent cx="5334000" cy="4265448"/>
            <wp:effectExtent b="0" l="0" r="0" t="0"/>
            <wp:docPr descr="Рис. 13: Параметры модуля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Параметры модуля</w:t>
      </w:r>
    </w:p>
    <w:bookmarkEnd w:id="72"/>
    <w:p>
      <w:pPr>
        <w:pStyle w:val="BodyText"/>
      </w:pPr>
      <w:r>
        <w:t xml:space="preserve">wp_wpdiscuz_unauthenticated_file_upload (рис. fig. 14).</w:t>
      </w:r>
    </w:p>
    <w:bookmarkStart w:id="76" w:name="fig:014"/>
    <w:p>
      <w:pPr>
        <w:pStyle w:val="CaptionedFigure"/>
      </w:pPr>
      <w:r>
        <w:drawing>
          <wp:inline>
            <wp:extent cx="5334000" cy="2984603"/>
            <wp:effectExtent b="0" l="0" r="0" t="0"/>
            <wp:docPr descr="Рис. 14: Настройка и запуск meterpreter-сессии с корпоративным сайтом с помощью модуля wp_wpdiscuz_unauthenticated_file_upload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и запуск meterpreter-сессии с корпоративным сайтом с помощью модуля wp_wpdiscuz_unauthenticated_file_upload</w:t>
      </w:r>
    </w:p>
    <w:bookmarkEnd w:id="76"/>
    <w:p>
      <w:pPr>
        <w:pStyle w:val="BodyText"/>
      </w:pPr>
      <w:r>
        <w:t xml:space="preserve">Необходимо отметить, что представлен не единственный вариант атаки.</w:t>
      </w:r>
      <w:r>
        <w:t xml:space="preserve"> </w:t>
      </w:r>
      <w:r>
        <w:t xml:space="preserve">Имеется возможность самостоятельно определить вектор атаки.</w:t>
      </w:r>
    </w:p>
    <w:p>
      <w:pPr>
        <w:pStyle w:val="BodyText"/>
      </w:pPr>
      <w:r>
        <w:t xml:space="preserve">Обнаружена внутренняя сеть 10.10.10.0/24.</w:t>
      </w:r>
      <w:r>
        <w:t xml:space="preserve"> </w:t>
      </w:r>
      <w:r>
        <w:t xml:space="preserve">Перенаправить к данной сети маршрут с помощью команды autoroute (рис. fig. 15).</w:t>
      </w:r>
    </w:p>
    <w:bookmarkStart w:id="80" w:name="fig:015"/>
    <w:p>
      <w:pPr>
        <w:pStyle w:val="CaptionedFigure"/>
      </w:pPr>
      <w:r>
        <w:drawing>
          <wp:inline>
            <wp:extent cx="5334000" cy="1091650"/>
            <wp:effectExtent b="0" l="0" r="0" t="0"/>
            <wp:docPr descr="Рис. 15: Перенаправление к сети маршрут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Перенаправление к сети маршрут</w:t>
      </w:r>
    </w:p>
    <w:bookmarkEnd w:id="80"/>
    <w:p>
      <w:pPr>
        <w:pStyle w:val="BodyText"/>
      </w:pPr>
      <w:r>
        <w:t xml:space="preserve">Выполнить сканирование внутреннего периметра с помощью модуля</w:t>
      </w:r>
      <w:r>
        <w:t xml:space="preserve"> </w:t>
      </w:r>
      <w:r>
        <w:t xml:space="preserve">multi/gather/ping_sweep. Для продолжения атаки необходимо</w:t>
      </w:r>
      <w:r>
        <w:t xml:space="preserve"> </w:t>
      </w:r>
      <w:r>
        <w:t xml:space="preserve">просканировать все доступные хосты во внутренней сети с использованием</w:t>
      </w:r>
      <w:r>
        <w:t xml:space="preserve"> </w:t>
      </w:r>
      <w:r>
        <w:t xml:space="preserve">модуля Multi Gather Ping Sweep (рис. fig. 16).</w:t>
      </w:r>
    </w:p>
    <w:bookmarkStart w:id="84" w:name="fig:016"/>
    <w:p>
      <w:pPr>
        <w:pStyle w:val="CaptionedFigure"/>
      </w:pPr>
      <w:r>
        <w:drawing>
          <wp:inline>
            <wp:extent cx="5334000" cy="2080700"/>
            <wp:effectExtent b="0" l="0" r="0" t="0"/>
            <wp:docPr descr="Рис. 16: Настройки модуля Multi Gather Ping Sweep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Настройки модуля Multi Gather Ping Sweep</w:t>
      </w:r>
    </w:p>
    <w:bookmarkEnd w:id="84"/>
    <w:p>
      <w:pPr>
        <w:pStyle w:val="BodyText"/>
      </w:pPr>
      <w:r>
        <w:t xml:space="preserve">Далее необходимо просканировать данные узлы для проверки наличия</w:t>
      </w:r>
      <w:r>
        <w:t xml:space="preserve"> </w:t>
      </w:r>
      <w:r>
        <w:t xml:space="preserve">открытых портов. Перед сканированием необходимо настроить проксисервер:</w:t>
      </w:r>
      <w:r>
        <w:t xml:space="preserve"> </w:t>
      </w:r>
      <w:r>
        <w:t xml:space="preserve">выйти из активной сессии с помощью команды background или</w:t>
      </w:r>
      <w:r>
        <w:t xml:space="preserve"> </w:t>
      </w:r>
      <w:r>
        <w:t xml:space="preserve">bg;</w:t>
      </w:r>
      <w:r>
        <w:t xml:space="preserve"> </w:t>
      </w:r>
      <w:r>
        <w:t xml:space="preserve">найти соответствующий модуль;</w:t>
      </w:r>
      <w:r>
        <w:t xml:space="preserve"> </w:t>
      </w:r>
      <w:r>
        <w:t xml:space="preserve">настроить данный модуль в соответствии с</w:t>
      </w:r>
      <w:r>
        <w:t xml:space="preserve"> </w:t>
      </w:r>
      <w:r>
        <w:t xml:space="preserve">конфигурационным файлом /etc/proxychains.conf. (рис. fig. 17).</w:t>
      </w:r>
    </w:p>
    <w:bookmarkStart w:id="88" w:name="fig:017"/>
    <w:p>
      <w:pPr>
        <w:pStyle w:val="CaptionedFigure"/>
      </w:pPr>
      <w:r>
        <w:drawing>
          <wp:inline>
            <wp:extent cx="5334000" cy="1367692"/>
            <wp:effectExtent b="0" l="0" r="0" t="0"/>
            <wp:docPr descr="Рис. 17: Настройка и запуск модуля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и запуск модуля</w:t>
      </w:r>
    </w:p>
    <w:bookmarkEnd w:id="88"/>
    <w:p>
      <w:pPr>
        <w:pStyle w:val="BodyText"/>
      </w:pPr>
      <w:r>
        <w:t xml:space="preserve">Далее запустить новый терминал kali. В новом теминале запустить</w:t>
      </w:r>
      <w:r>
        <w:t xml:space="preserve"> </w:t>
      </w:r>
      <w:r>
        <w:t xml:space="preserve">сканирование 100 самых часто используемых портов с помощью команды</w:t>
      </w:r>
      <w:r>
        <w:t xml:space="preserve"> </w:t>
      </w:r>
      <w:r>
        <w:t xml:space="preserve">proxychains nmap –n –sT –Pn –top-ports 100 {IP}.</w:t>
      </w:r>
      <w:r>
        <w:t xml:space="preserve"> </w:t>
      </w:r>
      <w:r>
        <w:t xml:space="preserve">В результате сканирования будут получены штатные порты серверов БД (рис. fig. 18) (рис. fig. 19).</w:t>
      </w:r>
    </w:p>
    <w:bookmarkStart w:id="92" w:name="fig:018"/>
    <w:p>
      <w:pPr>
        <w:pStyle w:val="CaptionedFigure"/>
      </w:pPr>
      <w:r>
        <w:drawing>
          <wp:inline>
            <wp:extent cx="5334000" cy="4445000"/>
            <wp:effectExtent b="0" l="0" r="0" t="0"/>
            <wp:docPr descr="Рис. 18: Результаты сканирования портов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Результаты сканирования портов</w:t>
      </w:r>
    </w:p>
    <w:bookmarkEnd w:id="92"/>
    <w:bookmarkStart w:id="96" w:name="fig:019"/>
    <w:p>
      <w:pPr>
        <w:pStyle w:val="CaptionedFigure"/>
      </w:pPr>
      <w:r>
        <w:drawing>
          <wp:inline>
            <wp:extent cx="5334000" cy="812067"/>
            <wp:effectExtent b="0" l="0" r="0" t="0"/>
            <wp:docPr descr="Рис. 19: Результаты сканирован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2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Результаты сканирования</w:t>
      </w:r>
    </w:p>
    <w:bookmarkEnd w:id="96"/>
    <w:p>
      <w:pPr>
        <w:pStyle w:val="BodyText"/>
      </w:pPr>
      <w:r>
        <w:t xml:space="preserve">Для реализации атаки перебором пароля сервера БД нужно использовать</w:t>
      </w:r>
      <w:r>
        <w:t xml:space="preserve"> </w:t>
      </w:r>
      <w:r>
        <w:t xml:space="preserve">bash-скрипт mysql_brute.sh, который находится по пути</w:t>
      </w:r>
      <w:r>
        <w:t xml:space="preserve"> </w:t>
      </w:r>
      <w:r>
        <w:t xml:space="preserve">/usr/tools/mysql_brute/ (рис. fig. 20).</w:t>
      </w:r>
    </w:p>
    <w:bookmarkStart w:id="100" w:name="fig:020"/>
    <w:p>
      <w:pPr>
        <w:pStyle w:val="CaptionedFigure"/>
      </w:pPr>
      <w:r>
        <w:drawing>
          <wp:inline>
            <wp:extent cx="5334000" cy="777875"/>
            <wp:effectExtent b="0" l="0" r="0" t="0"/>
            <wp:docPr descr="Рис. 20: Bash-скрипт для перебора пароля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Bash-скрипт для перебора пароля</w:t>
      </w:r>
    </w:p>
    <w:bookmarkEnd w:id="100"/>
    <w:p>
      <w:pPr>
        <w:pStyle w:val="BodyText"/>
      </w:pPr>
      <w:r>
        <w:t xml:space="preserve">Далее вернуться в предыдущий терминал с активным модулем</w:t>
      </w:r>
      <w:r>
        <w:t xml:space="preserve"> </w:t>
      </w:r>
      <w:r>
        <w:t xml:space="preserve">server/socks_proxy и войти в meterpreter-сессию (рис. fig. 21) (рис. fig. 22).</w:t>
      </w:r>
    </w:p>
    <w:bookmarkStart w:id="104" w:name="fig:021"/>
    <w:p>
      <w:pPr>
        <w:pStyle w:val="CaptionedFigure"/>
      </w:pPr>
      <w:r>
        <w:drawing>
          <wp:inline>
            <wp:extent cx="5334000" cy="1059961"/>
            <wp:effectExtent b="0" l="0" r="0" t="0"/>
            <wp:docPr descr="Рис. 21: Список активных сесси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9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Список активных сессий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5334000" cy="606913"/>
            <wp:effectExtent b="0" l="0" r="0" t="0"/>
            <wp:docPr descr="Рис. 22: Список активных сессий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Список активных сессий</w:t>
      </w:r>
    </w:p>
    <w:bookmarkEnd w:id="108"/>
    <w:p>
      <w:pPr>
        <w:pStyle w:val="BodyText"/>
      </w:pPr>
      <w:r>
        <w:t xml:space="preserve">Следующим этапом необходимо загрузить на скомпрометированный</w:t>
      </w:r>
      <w:r>
        <w:t xml:space="preserve"> </w:t>
      </w:r>
      <w:r>
        <w:t xml:space="preserve">узел в сегменте DMZ два файла: bash-скрипт mysql_brute.sh и файл с</w:t>
      </w:r>
      <w:r>
        <w:t xml:space="preserve"> </w:t>
      </w:r>
      <w:r>
        <w:t xml:space="preserve">паролями rockyou.txt (рис. fig. 23).</w:t>
      </w:r>
    </w:p>
    <w:bookmarkStart w:id="112" w:name="fig:023"/>
    <w:p>
      <w:pPr>
        <w:pStyle w:val="CaptionedFigure"/>
      </w:pPr>
      <w:r>
        <w:drawing>
          <wp:inline>
            <wp:extent cx="5334000" cy="752230"/>
            <wp:effectExtent b="0" l="0" r="0" t="0"/>
            <wp:docPr descr="Рис. 23: Загрузка файлов на машину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2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Загрузка файлов на машину</w:t>
      </w:r>
    </w:p>
    <w:bookmarkEnd w:id="112"/>
    <w:p>
      <w:pPr>
        <w:pStyle w:val="BodyText"/>
      </w:pPr>
      <w:r>
        <w:t xml:space="preserve">В данном случае два файла загружаются в папку /tmp (рис. fig. 24).</w:t>
      </w:r>
    </w:p>
    <w:bookmarkStart w:id="116" w:name="fig:024"/>
    <w:p>
      <w:pPr>
        <w:pStyle w:val="CaptionedFigure"/>
      </w:pPr>
      <w:r>
        <w:drawing>
          <wp:inline>
            <wp:extent cx="5334000" cy="914644"/>
            <wp:effectExtent b="0" l="0" r="0" t="0"/>
            <wp:docPr descr="Рис. 24: Просмотр загруженных фай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4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Просмотр загруженных файлов</w:t>
      </w:r>
    </w:p>
    <w:bookmarkEnd w:id="116"/>
    <w:p>
      <w:pPr>
        <w:pStyle w:val="BodyText"/>
      </w:pPr>
      <w:r>
        <w:t xml:space="preserve">Далее в активной meterpreter-сессии необходимо перейти в shell и</w:t>
      </w:r>
      <w:r>
        <w:t xml:space="preserve"> </w:t>
      </w:r>
      <w:r>
        <w:t xml:space="preserve">запустить bash-скрипт, который подберет пароль к учетной записи от MySQL.</w:t>
      </w:r>
      <w:r>
        <w:t xml:space="preserve"> </w:t>
      </w:r>
      <w:r>
        <w:t xml:space="preserve">Bash-скрипт mysql_brute.sh принимает на вход три аргумента в таком</w:t>
      </w:r>
      <w:r>
        <w:t xml:space="preserve"> </w:t>
      </w:r>
      <w:r>
        <w:t xml:space="preserve">порядке (Рисунок 14):</w:t>
      </w:r>
      <w:r>
        <w:t xml:space="preserve"> </w:t>
      </w:r>
      <w:r>
        <w:t xml:space="preserve">имя пользователя user;</w:t>
      </w:r>
      <w:r>
        <w:t xml:space="preserve"> </w:t>
      </w:r>
      <w:r>
        <w:t xml:space="preserve">файл с паролями rockyou.txt;</w:t>
      </w:r>
      <w:r>
        <w:t xml:space="preserve"> </w:t>
      </w:r>
      <w:r>
        <w:t xml:space="preserve">IP-адрес машины с MySQL – 10.10.10.30.</w:t>
      </w:r>
      <w:r>
        <w:t xml:space="preserve"> </w:t>
      </w:r>
      <w:r>
        <w:t xml:space="preserve">bash mysql_brute.sh user rockyou.txt 10.10.10.30 (рис. fig. 25).</w:t>
      </w:r>
    </w:p>
    <w:bookmarkStart w:id="120" w:name="fig:025"/>
    <w:p>
      <w:pPr>
        <w:pStyle w:val="CaptionedFigure"/>
      </w:pPr>
      <w:r>
        <w:drawing>
          <wp:inline>
            <wp:extent cx="5334000" cy="974480"/>
            <wp:effectExtent b="0" l="0" r="0" t="0"/>
            <wp:docPr descr="Рис. 25: Запуск bash-скрипта для перебора пароля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4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Запуск bash-скрипта для перебора пароля</w:t>
      </w:r>
    </w:p>
    <w:bookmarkEnd w:id="120"/>
    <w:p>
      <w:pPr>
        <w:pStyle w:val="BodyText"/>
      </w:pPr>
      <w:r>
        <w:t xml:space="preserve">В результате работы скрипта будет получен пароль, который можно</w:t>
      </w:r>
      <w:r>
        <w:t xml:space="preserve"> </w:t>
      </w:r>
      <w:r>
        <w:t xml:space="preserve">использовать для удаленного подключения к серверу БД (рис. fig. 26).</w:t>
      </w:r>
    </w:p>
    <w:bookmarkStart w:id="124" w:name="fig:026"/>
    <w:p>
      <w:pPr>
        <w:pStyle w:val="CaptionedFigure"/>
      </w:pPr>
      <w:r>
        <w:drawing>
          <wp:inline>
            <wp:extent cx="5334000" cy="2940538"/>
            <wp:effectExtent b="0" l="0" r="0" t="0"/>
            <wp:docPr descr="Рис. 26: Подобранный пароль в результате атаки перебор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Подобранный пароль в результате атаки перебором</w:t>
      </w:r>
    </w:p>
    <w:bookmarkEnd w:id="124"/>
    <w:p>
      <w:pPr>
        <w:pStyle w:val="BodyText"/>
      </w:pPr>
      <w:r>
        <w:t xml:space="preserve">Для получения доступа к машине можно воспользоваться</w:t>
      </w:r>
      <w:r>
        <w:t xml:space="preserve"> </w:t>
      </w:r>
      <w:r>
        <w:t xml:space="preserve">подключением MySQL по полученным учетным данным. Подключение</w:t>
      </w:r>
      <w:r>
        <w:t xml:space="preserve"> </w:t>
      </w:r>
      <w:r>
        <w:t xml:space="preserve">выполняется с атакующей машины kali, для подключения используется</w:t>
      </w:r>
      <w:r>
        <w:t xml:space="preserve"> </w:t>
      </w:r>
      <w:r>
        <w:t xml:space="preserve">proxychains (рис. fig. 27).</w:t>
      </w:r>
    </w:p>
    <w:bookmarkStart w:id="128" w:name="fig:027"/>
    <w:p>
      <w:pPr>
        <w:pStyle w:val="CaptionedFigure"/>
      </w:pPr>
      <w:r>
        <w:drawing>
          <wp:inline>
            <wp:extent cx="5334000" cy="3068759"/>
            <wp:effectExtent b="0" l="0" r="0" t="0"/>
            <wp:docPr descr="Рис. 27: Подключение к MySQL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Подключение к MySQL</w:t>
      </w:r>
    </w:p>
    <w:bookmarkEnd w:id="128"/>
    <w:p>
      <w:pPr>
        <w:pStyle w:val="BodyText"/>
      </w:pPr>
      <w:r>
        <w:t xml:space="preserve">Для получения флага необходимо вывести таблицы БД (рис. fig. 28).</w:t>
      </w:r>
    </w:p>
    <w:bookmarkStart w:id="132" w:name="fig:028"/>
    <w:p>
      <w:pPr>
        <w:pStyle w:val="CaptionedFigure"/>
      </w:pPr>
      <w:r>
        <w:drawing>
          <wp:inline>
            <wp:extent cx="5334000" cy="1607038"/>
            <wp:effectExtent b="0" l="0" r="0" t="0"/>
            <wp:docPr descr="Рис. 28: Получение флаг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7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Получение флага</w:t>
      </w:r>
    </w:p>
    <w:bookmarkEnd w:id="132"/>
    <w:bookmarkEnd w:id="133"/>
    <w:bookmarkStart w:id="1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Во внутреннем сегменте организации получили доступ к серверу базы данных (БД) и нашли флаг в таблице БД «Flag»</w:t>
      </w:r>
    </w:p>
    <w:bookmarkEnd w:id="134"/>
    <w:bookmarkStart w:id="136" w:name="список-литературы"/>
    <w:p>
      <w:pPr>
        <w:pStyle w:val="Heading1"/>
      </w:pPr>
      <w:r>
        <w:t xml:space="preserve">Список литературы</w:t>
      </w:r>
    </w:p>
    <w:bookmarkStart w:id="135" w:name="refs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Еюбоглу Т, Зиязетдинов А, Исаев Б| НПИбд-01-22</dc:creator>
  <dc:language>ru-RU</dc:language>
  <cp:keywords/>
  <dcterms:created xsi:type="dcterms:W3CDTF">2025-12-12T18:44:19Z</dcterms:created>
  <dcterms:modified xsi:type="dcterms:W3CDTF">2025-12-12T18:44:19Z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Кибербезопасность предприятия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