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46.png" ContentType="image/png"/>
  <Override PartName="/word/media/rId38.png" ContentType="image/png"/>
  <Override PartName="/word/media/rId42.png" ContentType="image/png"/>
  <Override PartName="/word/media/rId50.png" ContentType="image/png"/>
  <Override PartName="/word/media/rId59.png" ContentType="image/png"/>
  <Override PartName="/word/media/rId63.png" ContentType="image/png"/>
  <Override PartName="/word/media/rId55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79.png" ContentType="image/png"/>
  <Override PartName="/word/media/rId8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№2</w:t>
      </w:r>
    </w:p>
    <w:p>
      <w:pPr>
        <w:pStyle w:val="Subtitle"/>
      </w:pPr>
      <w:r>
        <w:t xml:space="preserve">Кибербезопасность предприятия</w:t>
      </w:r>
    </w:p>
    <w:p>
      <w:pPr>
        <w:pStyle w:val="Author"/>
      </w:pPr>
      <w:r>
        <w:t xml:space="preserve">Еюбоглу Т, Зиязетдинов А, Исаев Б| НПИбд-01-22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Изучить сценарий атаки внешнего злоумышленника на корпоративную инфраструктуру с использованием уязвимостей в компонентах веб-серверов, почтовых систем и мессенджеров. Освоить методы обнаружения, анализа и устранения последствий компьютерных атак с использованием программного комплекса Ampire, включая выявление уязвимостей (CVE-2020-24186, CVE-2021-22911, CVE-2022-0847, CVE-2020-26855 и CVE-2021-27065), а также нейтрализацию их последствий.</w:t>
      </w:r>
    </w:p>
    <w:bookmarkEnd w:id="20"/>
    <w:bookmarkStart w:id="21" w:name="теоретическое-введ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Внешний злоумышленник проводит многоэтапную атаку на корпоративную инфраструктуру, начиная с эксплуатации уязвимостей на публичных сервисах (веб-сайт, почтовый сервер, мессенджер).</w:t>
      </w:r>
      <w:r>
        <w:t xml:space="preserve"> </w:t>
      </w:r>
      <w:r>
        <w:t xml:space="preserve">Цель атаки — получение контроля над внутренними ресурсами, захват контроллера домена, хищение данных и дестабилизация работы компании.</w:t>
      </w:r>
      <w:r>
        <w:t xml:space="preserve"> </w:t>
      </w:r>
      <w:r>
        <w:t xml:space="preserve">Для этого используются следующие уязвимости:</w:t>
      </w:r>
    </w:p>
    <w:p>
      <w:pPr>
        <w:pStyle w:val="BodyText"/>
      </w:pPr>
      <w:r>
        <w:t xml:space="preserve">CVE-2020-24186 (WpDiscuz): удалённое выполнение кода (RCE) через загрузку PHP-файла в комментариях.</w:t>
      </w:r>
    </w:p>
    <w:p>
      <w:pPr>
        <w:pStyle w:val="BodyText"/>
      </w:pPr>
      <w:r>
        <w:t xml:space="preserve">CVE-2021-22911 и CVE-2022-0847 (Rocket.Chat): NoSQL-инъекция и уязвимость Dirty Pipe для повышения привилегий.</w:t>
      </w:r>
    </w:p>
    <w:p>
      <w:pPr>
        <w:pStyle w:val="BodyText"/>
      </w:pPr>
      <w:r>
        <w:t xml:space="preserve">CVE-2020-26855 и CVE-2021-27065 (Proxylogon): обход аутентификации в Exchange Server и запись файла в произвольную директорию.</w:t>
      </w:r>
    </w:p>
    <w:p>
      <w:pPr>
        <w:pStyle w:val="BodyText"/>
      </w:pPr>
      <w:r>
        <w:t xml:space="preserve">Последствия атак включают: дефейс сайта, установку обратных оболочек (meterpreter), создание backdoor, шифрование файлов, добавление пользователей и др.</w:t>
      </w:r>
    </w:p>
    <w:p>
      <w:pPr>
        <w:pStyle w:val="BodyText"/>
      </w:pPr>
      <w:r>
        <w:t xml:space="preserve">Для защиты применяются системы мониторинга (ViPNet IDS NS, Security Onion), анализ логов, обновление ПО, настройка политик безопасности.</w:t>
      </w:r>
    </w:p>
    <w:bookmarkEnd w:id="21"/>
    <w:bookmarkStart w:id="88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bookmarkStart w:id="54" w:name="уязвимость-cve-2020-24186-в-wpdiscuz"/>
    <w:p>
      <w:pPr>
        <w:pStyle w:val="Heading3"/>
      </w:pPr>
      <w:r>
        <w:rPr>
          <w:rStyle w:val="SectionNumber"/>
        </w:rPr>
        <w:t xml:space="preserve">3.0.1</w:t>
      </w:r>
      <w:r>
        <w:tab/>
      </w:r>
      <w:r>
        <w:t xml:space="preserve">2.1 Уязвимость CVE-2020-24186 в WpDiscuz</w:t>
      </w:r>
    </w:p>
    <w:p>
      <w:pPr>
        <w:pStyle w:val="FirstParagraph"/>
      </w:pPr>
      <w:r>
        <w:t xml:space="preserve">Условия эксплуатации:</w:t>
      </w:r>
      <w:r>
        <w:t xml:space="preserve"> </w:t>
      </w:r>
      <w:r>
        <w:t xml:space="preserve">Версия плагина WpDiscuz 7.0.2, доступ к веб-серверу WordPress.</w:t>
      </w:r>
    </w:p>
    <w:p>
      <w:pPr>
        <w:pStyle w:val="BodyText"/>
      </w:pPr>
      <w:r>
        <w:t xml:space="preserve">Шаги атаки:</w:t>
      </w:r>
    </w:p>
    <w:p>
      <w:pPr>
        <w:pStyle w:val="BodyText"/>
      </w:pPr>
      <w:r>
        <w:t xml:space="preserve">Нарушитель отправляет POST-запрос на /wp-admin/admin-ajax.php с загрузкой PHP-файла через поле комментариев.</w:t>
      </w:r>
    </w:p>
    <w:p>
      <w:pPr>
        <w:pStyle w:val="BodyText"/>
      </w:pPr>
      <w:r>
        <w:t xml:space="preserve">Файл сохраняется на сервере и позволяет выполнить произвольный код.</w:t>
      </w:r>
    </w:p>
    <w:p>
      <w:pPr>
        <w:pStyle w:val="BodyText"/>
      </w:pPr>
      <w:r>
        <w:t xml:space="preserve">Обнаружение:</w:t>
      </w:r>
    </w:p>
    <w:p>
      <w:pPr>
        <w:pStyle w:val="BodyText"/>
      </w:pPr>
      <w:r>
        <w:t xml:space="preserve">В логах Apache (/var/log/apache2/access.log) появляются запросы к admin-ajax.php с загрузкой файлов.</w:t>
      </w:r>
    </w:p>
    <w:p>
      <w:pPr>
        <w:pStyle w:val="BodyText"/>
      </w:pPr>
      <w:r>
        <w:t xml:space="preserve">В журнале активности WordPress фиксируется несанкционированное действие.</w:t>
      </w:r>
    </w:p>
    <w:p>
      <w:pPr>
        <w:pStyle w:val="BodyText"/>
      </w:pPr>
      <w:r>
        <w:t xml:space="preserve">Сенсоры ViPNet IDS NS и Security Onion детектируют аномальные запросы (например, ET WEB_SERVER PHP tags in HTTP POST). (рис. 1)</w:t>
      </w:r>
    </w:p>
    <w:bookmarkStart w:id="25" w:name="fig:001"/>
    <w:p>
      <w:pPr>
        <w:pStyle w:val="CaptionedFigure"/>
      </w:pPr>
      <w:r>
        <w:drawing>
          <wp:inline>
            <wp:extent cx="5334000" cy="2553324"/>
            <wp:effectExtent b="0" l="0" r="0" t="0"/>
            <wp:docPr descr="Рис. 1: ViPNet IDS NS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33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ViPNet IDS NS</w:t>
      </w:r>
    </w:p>
    <w:bookmarkEnd w:id="25"/>
    <w:p>
      <w:pPr>
        <w:pStyle w:val="BodyText"/>
      </w:pPr>
      <w:r>
        <w:t xml:space="preserve">Устранение уязвимости:</w:t>
      </w:r>
    </w:p>
    <w:p>
      <w:pPr>
        <w:pStyle w:val="BodyText"/>
      </w:pPr>
      <w:r>
        <w:t xml:space="preserve">Отключение плагина:</w:t>
      </w:r>
      <w:r>
        <w:t xml:space="preserve"> </w:t>
      </w:r>
      <w:r>
        <w:t xml:space="preserve">В панели управления WordPress → Plugins → Deactivate (или Delete) для WpDiscuz. (рис. 2) (рис. 3)</w:t>
      </w:r>
    </w:p>
    <w:bookmarkStart w:id="29" w:name="fig:002"/>
    <w:p>
      <w:pPr>
        <w:pStyle w:val="CaptionedFigure"/>
      </w:pPr>
      <w:r>
        <w:drawing>
          <wp:inline>
            <wp:extent cx="5334000" cy="4363653"/>
            <wp:effectExtent b="0" l="0" r="0" t="0"/>
            <wp:docPr descr="Рис. 2: Вход в панель администратора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636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Вход в панель администратора</w:t>
      </w:r>
    </w:p>
    <w:bookmarkEnd w:id="29"/>
    <w:bookmarkStart w:id="33" w:name="fig:003"/>
    <w:p>
      <w:pPr>
        <w:pStyle w:val="CaptionedFigure"/>
      </w:pPr>
      <w:r>
        <w:drawing>
          <wp:inline>
            <wp:extent cx="5334000" cy="5116165"/>
            <wp:effectExtent b="0" l="0" r="0" t="0"/>
            <wp:docPr descr="Рис. 3: Отключение плагина в панели управления в WordPres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161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Отключение плагина в панели управления в WordPres</w:t>
      </w:r>
    </w:p>
    <w:bookmarkEnd w:id="33"/>
    <w:p>
      <w:pPr>
        <w:pStyle w:val="BodyText"/>
      </w:pPr>
      <w:r>
        <w:t xml:space="preserve">Обновление плагина:</w:t>
      </w:r>
      <w:r>
        <w:t xml:space="preserve"> </w:t>
      </w:r>
      <w:r>
        <w:t xml:space="preserve">Загружена версия 7.0.5 (или выше) через раздел Plugins → Add New → Upload Plugin.</w:t>
      </w:r>
    </w:p>
    <w:p>
      <w:pPr>
        <w:pStyle w:val="BodyText"/>
      </w:pPr>
      <w:r>
        <w:t xml:space="preserve">Нейтрализация последствий:</w:t>
      </w:r>
    </w:p>
    <w:p>
      <w:pPr>
        <w:pStyle w:val="BodyText"/>
      </w:pPr>
      <w:r>
        <w:t xml:space="preserve">Дефейс сайта: восстановление из резервной копии через плагин UpdraftPlus. (рис. 4) (рис. 5) (рис. 6) (рис. 7) (рис. 8)</w:t>
      </w:r>
    </w:p>
    <w:bookmarkStart w:id="37" w:name="fig:004"/>
    <w:p>
      <w:pPr>
        <w:pStyle w:val="CaptionedFigure"/>
      </w:pPr>
      <w:r>
        <w:drawing>
          <wp:inline>
            <wp:extent cx="5334000" cy="3722597"/>
            <wp:effectExtent b="0" l="0" r="0" t="0"/>
            <wp:docPr descr="Рис. 4: Страница сайта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225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Страница сайта</w:t>
      </w:r>
    </w:p>
    <w:bookmarkEnd w:id="37"/>
    <w:bookmarkStart w:id="41" w:name="fig:005"/>
    <w:p>
      <w:pPr>
        <w:pStyle w:val="CaptionedFigure"/>
      </w:pPr>
      <w:r>
        <w:drawing>
          <wp:inline>
            <wp:extent cx="5334000" cy="4472751"/>
            <wp:effectExtent b="0" l="0" r="0" t="0"/>
            <wp:docPr descr="Рис. 5: Cуществующие резервные копии UpdraftPlus" title="" id="39" name="Picture"/>
            <a:graphic>
              <a:graphicData uri="http://schemas.openxmlformats.org/drawingml/2006/picture">
                <pic:pic>
                  <pic:nvPicPr>
                    <pic:cNvPr descr="image/07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727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Cуществующие резервные копии UpdraftPlus</w:t>
      </w:r>
    </w:p>
    <w:bookmarkEnd w:id="41"/>
    <w:bookmarkStart w:id="45" w:name="fig:006"/>
    <w:p>
      <w:pPr>
        <w:pStyle w:val="CaptionedFigure"/>
      </w:pPr>
      <w:r>
        <w:drawing>
          <wp:inline>
            <wp:extent cx="5334000" cy="3226061"/>
            <wp:effectExtent b="0" l="0" r="0" t="0"/>
            <wp:docPr descr="Рис. 6: Успешное выполнение восстановления" title="" id="43" name="Picture"/>
            <a:graphic>
              <a:graphicData uri="http://schemas.openxmlformats.org/drawingml/2006/picture">
                <pic:pic>
                  <pic:nvPicPr>
                    <pic:cNvPr descr="image/08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260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Успешное выполнение восстановления</w:t>
      </w:r>
    </w:p>
    <w:bookmarkEnd w:id="45"/>
    <w:p>
      <w:pPr>
        <w:pStyle w:val="BodyText"/>
      </w:pPr>
      <w:r>
        <w:t xml:space="preserve">Meterpreter-сессия: завершение процесса Apache, связанного с вредоносным сокетом (команда kill</w:t>
      </w:r>
      <w:r>
        <w:t xml:space="preserve"> </w:t>
      </w:r>
      <w:r>
        <w:t xml:space="preserve">).</w:t>
      </w:r>
    </w:p>
    <w:bookmarkStart w:id="49" w:name="fig:007"/>
    <w:p>
      <w:pPr>
        <w:pStyle w:val="CaptionedFigure"/>
      </w:pPr>
      <w:r>
        <w:drawing>
          <wp:inline>
            <wp:extent cx="5334000" cy="5044025"/>
            <wp:effectExtent b="0" l="0" r="0" t="0"/>
            <wp:docPr descr="Рис. 7: Отображение информации о TCP-соединениях" title="" id="47" name="Picture"/>
            <a:graphic>
              <a:graphicData uri="http://schemas.openxmlformats.org/drawingml/2006/picture">
                <pic:pic>
                  <pic:nvPicPr>
                    <pic:cNvPr descr="image/05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440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Отображение информации о TCP-соединениях</w:t>
      </w:r>
    </w:p>
    <w:bookmarkEnd w:id="49"/>
    <w:bookmarkStart w:id="53" w:name="fig:008"/>
    <w:p>
      <w:pPr>
        <w:pStyle w:val="CaptionedFigure"/>
      </w:pPr>
      <w:r>
        <w:drawing>
          <wp:inline>
            <wp:extent cx="5334000" cy="2540000"/>
            <wp:effectExtent b="0" l="0" r="0" t="0"/>
            <wp:docPr descr="Рис. 8: Процесс закрытия meterpreter-сессии" title="" id="51" name="Picture"/>
            <a:graphic>
              <a:graphicData uri="http://schemas.openxmlformats.org/drawingml/2006/picture">
                <pic:pic>
                  <pic:nvPicPr>
                    <pic:cNvPr descr="image/10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Процесс закрытия meterpreter-сессии</w:t>
      </w:r>
    </w:p>
    <w:bookmarkEnd w:id="53"/>
    <w:p>
      <w:pPr>
        <w:pStyle w:val="BodyText"/>
      </w:pPr>
      <w:r>
        <w:t xml:space="preserve">Caidao PHP backdoor: удаление файла caidao.php из директории /var/www/html/wordpress/.</w:t>
      </w:r>
    </w:p>
    <w:bookmarkEnd w:id="54"/>
    <w:bookmarkStart w:id="87" w:name="proxylogon-cve-2021-26855-ssrf"/>
    <w:p>
      <w:pPr>
        <w:pStyle w:val="Heading3"/>
      </w:pPr>
      <w:r>
        <w:rPr>
          <w:rStyle w:val="SectionNumber"/>
        </w:rPr>
        <w:t xml:space="preserve">3.0.2</w:t>
      </w:r>
      <w:r>
        <w:tab/>
      </w:r>
      <w:r>
        <w:t xml:space="preserve">2.2 Proxylogon (CVE 2021-26855 (SSRF))</w:t>
      </w:r>
    </w:p>
    <w:p>
      <w:pPr>
        <w:pStyle w:val="FirstParagraph"/>
      </w:pPr>
      <w:r>
        <w:t xml:space="preserve">CVE-2021-26855, также известная как Proxylogon, представляет собой уязвимость типа Server-Side Request Forgery (SSRF) в Microsoft Exchange Server. Данная уязвимость позволяет злоумышленнику обходить аутентификацию и выполнять запросы от имени сервера к внутренним ресурсам, что в итоге приводит к получению несанкционированного доступа к почтовым ящикам и выполнению произвольного кода.</w:t>
      </w:r>
    </w:p>
    <w:p>
      <w:pPr>
        <w:pStyle w:val="BodyText"/>
      </w:pPr>
      <w:r>
        <w:t xml:space="preserve">Условия эксплуатации:</w:t>
      </w:r>
    </w:p>
    <w:p>
      <w:pPr>
        <w:pStyle w:val="BodyText"/>
      </w:pPr>
      <w:r>
        <w:t xml:space="preserve">Наличие доступа к веб-интерфейсу Exchange (ECP) по адресу https://</w:t>
      </w:r>
      <w:r>
        <w:t xml:space="preserve">/ecp.</w:t>
      </w:r>
    </w:p>
    <w:p>
      <w:pPr>
        <w:pStyle w:val="BodyText"/>
      </w:pPr>
      <w:r>
        <w:t xml:space="preserve">Знание действительного email-адреса пользователя на атакуемом сервере.</w:t>
      </w:r>
    </w:p>
    <w:p>
      <w:pPr>
        <w:pStyle w:val="BodyText"/>
      </w:pPr>
      <w:r>
        <w:t xml:space="preserve">Уязвимые версии Exchange Server (до версии 15.01.2106.013).</w:t>
      </w:r>
    </w:p>
    <w:p>
      <w:pPr>
        <w:pStyle w:val="BodyText"/>
      </w:pPr>
      <w:r>
        <w:t xml:space="preserve">Шаги атаки:</w:t>
      </w:r>
    </w:p>
    <w:p>
      <w:pPr>
        <w:pStyle w:val="BodyText"/>
      </w:pPr>
      <w:r>
        <w:t xml:space="preserve">Обход аутентификации через SSRF:</w:t>
      </w:r>
      <w:r>
        <w:t xml:space="preserve"> </w:t>
      </w:r>
      <w:r>
        <w:t xml:space="preserve">Злоумышленник отправляет специально сформированный запрос к конечной точке /autodiscover/autodiscover.xml, используя поддельный заголовок X-BEResource, который указывает на внутренний URL сервера. Это позволяет получить LegacyDN целевого пользователя.</w:t>
      </w:r>
    </w:p>
    <w:p>
      <w:pPr>
        <w:pStyle w:val="BodyText"/>
      </w:pPr>
      <w:r>
        <w:t xml:space="preserve">Получение SID пользователя:</w:t>
      </w:r>
      <w:r>
        <w:t xml:space="preserve"> </w:t>
      </w:r>
      <w:r>
        <w:t xml:space="preserve">Используя полученный LegacyDN, атакующий отправляет POST-запрос к /ecp/</w:t>
      </w:r>
      <w:r>
        <w:t xml:space="preserve">.js, что приводит к ошибке доступа, в ответе которой содержится SID (Security Identifier) пользователя.</w:t>
      </w:r>
    </w:p>
    <w:p>
      <w:pPr>
        <w:pStyle w:val="BodyText"/>
      </w:pPr>
      <w:r>
        <w:t xml:space="preserve">Авторизация в системе:</w:t>
      </w:r>
      <w:r>
        <w:t xml:space="preserve"> </w:t>
      </w:r>
      <w:r>
        <w:t xml:space="preserve">С помощью полученного SID злоумышленник отправляет запрос на авторизацию в Outlook, получая в ответ cookies (ASP.NET_SessionID и msExchEcpCanary), необходимые для дальнейших действий.</w:t>
      </w:r>
    </w:p>
    <w:p>
      <w:pPr>
        <w:pStyle w:val="BodyText"/>
      </w:pPr>
      <w:r>
        <w:t xml:space="preserve">Использование CVE-2021-27065:</w:t>
      </w:r>
      <w:r>
        <w:t xml:space="preserve"> </w:t>
      </w:r>
      <w:r>
        <w:t xml:space="preserve">После успешной авторизации атакующий может изменить параметры виртуальной директории OAB (Offline Address Book) в панели управления Exchange, что позволяет записать вредоносный файл (например, веб-шелл) в произвольную директорию сервера.</w:t>
      </w:r>
    </w:p>
    <w:p>
      <w:pPr>
        <w:pStyle w:val="BodyText"/>
      </w:pPr>
      <w:r>
        <w:t xml:space="preserve">Устранение уязвимости:</w:t>
      </w:r>
    </w:p>
    <w:p>
      <w:pPr>
        <w:pStyle w:val="BodyText"/>
      </w:pPr>
      <w:r>
        <w:t xml:space="preserve">Во время эксплуатации уязвимости Proxylogon злоумышленник выполняет GET- и POST-запросы к директории /ecp на сервере Exchange. Для предотвращения эксплуатации уязвимости достаточно ограничить доступ к этой директории. Ниже приведены рекомендации по устранению уязвимости:</w:t>
      </w:r>
    </w:p>
    <w:p>
      <w:pPr>
        <w:pStyle w:val="BodyText"/>
      </w:pPr>
      <w:r>
        <w:t xml:space="preserve">Открытие Internet Information Services (IIS) Manager:</w:t>
      </w:r>
      <w:r>
        <w:t xml:space="preserve"> </w:t>
      </w:r>
      <w:r>
        <w:t xml:space="preserve">Нажмите сочетание клавиш Win + R, в появившемся окне введите inetmgr и нажмите Enter.</w:t>
      </w:r>
    </w:p>
    <w:p>
      <w:pPr>
        <w:pStyle w:val="BodyText"/>
      </w:pPr>
      <w:r>
        <w:t xml:space="preserve">Настройка ограничений доступа:</w:t>
      </w:r>
      <w:r>
        <w:t xml:space="preserve"> </w:t>
      </w:r>
      <w:r>
        <w:t xml:space="preserve">В открывшемся окне IIS Manager перейдите во вкладку:</w:t>
      </w:r>
      <w:r>
        <w:t xml:space="preserve"> </w:t>
      </w:r>
      <w:r>
        <w:t xml:space="preserve">MAIL → Sites → Default Web Site → ecp.</w:t>
      </w:r>
      <w:r>
        <w:t xml:space="preserve"> </w:t>
      </w:r>
      <w:r>
        <w:t xml:space="preserve">Выберите пункт IP Address and Domain Restrictions. (рис. 9)</w:t>
      </w:r>
    </w:p>
    <w:bookmarkStart w:id="58" w:name="fig:009"/>
    <w:p>
      <w:pPr>
        <w:pStyle w:val="CaptionedFigure"/>
      </w:pPr>
      <w:r>
        <w:drawing>
          <wp:inline>
            <wp:extent cx="5334000" cy="3145692"/>
            <wp:effectExtent b="0" l="0" r="0" t="0"/>
            <wp:docPr descr="Рис. 9: IP Address and Domain Restrictions." title="" id="56" name="Picture"/>
            <a:graphic>
              <a:graphicData uri="http://schemas.openxmlformats.org/drawingml/2006/picture">
                <pic:pic>
                  <pic:nvPicPr>
                    <pic:cNvPr descr="image/15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456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IP Address and Domain Restrictions.</w:t>
      </w:r>
    </w:p>
    <w:bookmarkEnd w:id="58"/>
    <w:p>
      <w:pPr>
        <w:pStyle w:val="BodyText"/>
      </w:pPr>
      <w:r>
        <w:t xml:space="preserve">Обнаружение и устранение полезной нагрузки China Chopper и Meterpreter Сессии</w:t>
      </w:r>
    </w:p>
    <w:p>
      <w:pPr>
        <w:pStyle w:val="BodyText"/>
      </w:pPr>
      <w:r>
        <w:t xml:space="preserve">Для устранения полезной нагрузки «meterpreter-сессия» необходимо:</w:t>
      </w:r>
      <w:r>
        <w:t xml:space="preserve"> </w:t>
      </w:r>
      <w:r>
        <w:t xml:space="preserve">1. Выполнить команду netstat -b -o для обнаружения активных</w:t>
      </w:r>
      <w:r>
        <w:t xml:space="preserve"> </w:t>
      </w:r>
      <w:r>
        <w:t xml:space="preserve">соединений.</w:t>
      </w:r>
      <w:r>
        <w:t xml:space="preserve"> </w:t>
      </w:r>
      <w:r>
        <w:t xml:space="preserve">2. С помощью команды taskkill /PID</w:t>
      </w:r>
      <w:r>
        <w:t xml:space="preserve"> </w:t>
      </w:r>
      <w:r>
        <w:t xml:space="preserve"> </w:t>
      </w:r>
      <w:r>
        <w:t xml:space="preserve">/F завершить процессы,</w:t>
      </w:r>
      <w:r>
        <w:t xml:space="preserve"> </w:t>
      </w:r>
      <w:r>
        <w:t xml:space="preserve">устанавливающие соединение с хостом нарушителя. (рис. 10)</w:t>
      </w:r>
    </w:p>
    <w:bookmarkStart w:id="62" w:name="fig:010"/>
    <w:p>
      <w:pPr>
        <w:pStyle w:val="CaptionedFigure"/>
      </w:pPr>
      <w:r>
        <w:drawing>
          <wp:inline>
            <wp:extent cx="5334000" cy="962988"/>
            <wp:effectExtent b="0" l="0" r="0" t="0"/>
            <wp:docPr descr="Рис. 10: Завершение процессов." title="" id="60" name="Picture"/>
            <a:graphic>
              <a:graphicData uri="http://schemas.openxmlformats.org/drawingml/2006/picture">
                <pic:pic>
                  <pic:nvPicPr>
                    <pic:cNvPr descr="image/12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629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Завершение процессов.</w:t>
      </w:r>
    </w:p>
    <w:bookmarkEnd w:id="62"/>
    <w:p>
      <w:pPr>
        <w:pStyle w:val="BodyText"/>
      </w:pPr>
      <w:r>
        <w:t xml:space="preserve">Устранение полезной нагрузки</w:t>
      </w:r>
      <w:r>
        <w:t xml:space="preserve"> </w:t>
      </w:r>
      <w:r>
        <w:t xml:space="preserve">“Web-shell China Chopper”</w:t>
      </w:r>
    </w:p>
    <w:p>
      <w:pPr>
        <w:pStyle w:val="BodyText"/>
      </w:pPr>
      <w:r>
        <w:t xml:space="preserve">Для нейтрализации данного последствия атаки необходимо выполнить следующие действия:</w:t>
      </w:r>
    </w:p>
    <w:p>
      <w:pPr>
        <w:pStyle w:val="BodyText"/>
      </w:pPr>
      <w:r>
        <w:t xml:space="preserve">Удаление файла веб-оболочки:</w:t>
      </w:r>
    </w:p>
    <w:p>
      <w:pPr>
        <w:pStyle w:val="BodyText"/>
      </w:pPr>
      <w:r>
        <w:t xml:space="preserve">Завершение вредоносных сетевых соединений:</w:t>
      </w:r>
      <w:r>
        <w:t xml:space="preserve"> </w:t>
      </w:r>
      <w:r>
        <w:t xml:space="preserve">Обнаружить и принудительно завершить все установленные злоумышленником соединения между скомпрометированным сервером и внешним хостом.</w:t>
      </w:r>
      <w:r>
        <w:t xml:space="preserve"> </w:t>
      </w:r>
      <w:r>
        <w:t xml:space="preserve">Подробная процедура описана в Подразделе 4.1 (методы завершения meterpreter-сессий).</w:t>
      </w:r>
    </w:p>
    <w:p>
      <w:pPr>
        <w:pStyle w:val="BodyText"/>
      </w:pPr>
      <w:r>
        <w:t xml:space="preserve">Примечание:</w:t>
      </w:r>
      <w:r>
        <w:t xml:space="preserve"> </w:t>
      </w:r>
      <w:r>
        <w:t xml:space="preserve">Оба шага являются обязательными для полной нейтрализации угрозы. Удаление файла предотвращает повторный доступ, а завершение соединений останавливает активное взаимодействие злоумышленника с системой. (рис. 11)</w:t>
      </w:r>
    </w:p>
    <w:bookmarkStart w:id="66" w:name="fig:011"/>
    <w:p>
      <w:pPr>
        <w:pStyle w:val="CaptionedFigure"/>
      </w:pPr>
      <w:r>
        <w:drawing>
          <wp:inline>
            <wp:extent cx="5334000" cy="4774849"/>
            <wp:effectExtent b="0" l="0" r="0" t="0"/>
            <wp:docPr descr="Рис. 11: Удаление файла AM BACKDOOR." title="" id="64" name="Picture"/>
            <a:graphic>
              <a:graphicData uri="http://schemas.openxmlformats.org/drawingml/2006/picture">
                <pic:pic>
                  <pic:nvPicPr>
                    <pic:cNvPr descr="image/14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748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Удаление файла AM BACKDOOR.</w:t>
      </w:r>
    </w:p>
    <w:bookmarkEnd w:id="66"/>
    <w:p>
      <w:pPr>
        <w:pStyle w:val="BodyText"/>
      </w:pPr>
      <w:r>
        <w:t xml:space="preserve">Закрытие уязвимостей в Rocket Chat</w:t>
      </w:r>
      <w:r>
        <w:t xml:space="preserve"> </w:t>
      </w:r>
      <w:r>
        <w:t xml:space="preserve">Для восстановления доступа к аккаунту администратора необходимо</w:t>
      </w:r>
      <w:r>
        <w:t xml:space="preserve"> </w:t>
      </w:r>
      <w:r>
        <w:t xml:space="preserve">сбросить пароль. Письмо с инструкциями для сброса пароля</w:t>
      </w:r>
      <w:r>
        <w:t xml:space="preserve"> </w:t>
      </w:r>
      <w:r>
        <w:t xml:space="preserve">можно прочитать при помощи утилиты mail (переключившись на учетную</w:t>
      </w:r>
      <w:r>
        <w:t xml:space="preserve"> </w:t>
      </w:r>
      <w:r>
        <w:t xml:space="preserve">запись admin), либо при помощи текстового редактора, прочитав файл</w:t>
      </w:r>
      <w:r>
        <w:t xml:space="preserve"> </w:t>
      </w:r>
      <w:r>
        <w:t xml:space="preserve">/var/mail/admin (рис. 12) (рис. 13) (рис. 14):</w:t>
      </w:r>
    </w:p>
    <w:bookmarkStart w:id="70" w:name="fig:012"/>
    <w:p>
      <w:pPr>
        <w:pStyle w:val="CaptionedFigure"/>
      </w:pPr>
      <w:r>
        <w:drawing>
          <wp:inline>
            <wp:extent cx="5334000" cy="5231423"/>
            <wp:effectExtent b="0" l="0" r="0" t="0"/>
            <wp:docPr descr="Рис. 12: Восстановление пароля" title="" id="68" name="Picture"/>
            <a:graphic>
              <a:graphicData uri="http://schemas.openxmlformats.org/drawingml/2006/picture">
                <pic:pic>
                  <pic:nvPicPr>
                    <pic:cNvPr descr="image/16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314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Восстановление пароля</w:t>
      </w:r>
    </w:p>
    <w:bookmarkEnd w:id="70"/>
    <w:bookmarkStart w:id="74" w:name="fig:013"/>
    <w:p>
      <w:pPr>
        <w:pStyle w:val="CaptionedFigure"/>
      </w:pPr>
      <w:r>
        <w:drawing>
          <wp:inline>
            <wp:extent cx="5334000" cy="6217227"/>
            <wp:effectExtent b="0" l="0" r="0" t="0"/>
            <wp:docPr descr="Рис. 13: Ссылка для сброса пароля" title="" id="72" name="Picture"/>
            <a:graphic>
              <a:graphicData uri="http://schemas.openxmlformats.org/drawingml/2006/picture">
                <pic:pic>
                  <pic:nvPicPr>
                    <pic:cNvPr descr="image/17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172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Ссылка для сброса пароля</w:t>
      </w:r>
    </w:p>
    <w:bookmarkEnd w:id="74"/>
    <w:bookmarkStart w:id="78" w:name="fig:014"/>
    <w:p>
      <w:pPr>
        <w:pStyle w:val="CaptionedFigure"/>
      </w:pPr>
      <w:r>
        <w:drawing>
          <wp:inline>
            <wp:extent cx="3715351" cy="3811604"/>
            <wp:effectExtent b="0" l="0" r="0" t="0"/>
            <wp:docPr descr="Рис. 14: back_up коды для двух. ауентитификации" title="" id="76" name="Picture"/>
            <a:graphic>
              <a:graphicData uri="http://schemas.openxmlformats.org/drawingml/2006/picture">
                <pic:pic>
                  <pic:nvPicPr>
                    <pic:cNvPr descr="image/18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5351" cy="38116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back_up коды для двух. ауентитификации</w:t>
      </w:r>
    </w:p>
    <w:bookmarkEnd w:id="78"/>
    <w:p>
      <w:pPr>
        <w:pStyle w:val="BodyText"/>
      </w:pPr>
      <w:r>
        <w:t xml:space="preserve">Необходимо скопировать ссылку из письма. Нужно обратить внимание, что в терминале при переносе строки</w:t>
      </w:r>
      <w:r>
        <w:t xml:space="preserve"> </w:t>
      </w:r>
      <w:r>
        <w:t xml:space="preserve">используется знак «=», его следует игнорировать.</w:t>
      </w:r>
      <w:r>
        <w:t xml:space="preserve"> </w:t>
      </w:r>
      <w:r>
        <w:t xml:space="preserve">После этого необходимо ввести новый пароль. Для учетной записи</w:t>
      </w:r>
      <w:r>
        <w:t xml:space="preserve"> </w:t>
      </w:r>
      <w:r>
        <w:t xml:space="preserve">администратора Rocket Chat настроена двухфакторная аутентификация при</w:t>
      </w:r>
      <w:r>
        <w:t xml:space="preserve"> </w:t>
      </w:r>
      <w:r>
        <w:t xml:space="preserve">помощи TOTP (Time-based one-time password). Для генерации</w:t>
      </w:r>
      <w:r>
        <w:t xml:space="preserve"> </w:t>
      </w:r>
      <w:r>
        <w:t xml:space="preserve">одноразового пароля необходимо воспользоваться программой KeePass,</w:t>
      </w:r>
      <w:r>
        <w:t xml:space="preserve"> </w:t>
      </w:r>
      <w:r>
        <w:t xml:space="preserve">доступной на машине администрирования (приложение А, стр. 30).</w:t>
      </w:r>
    </w:p>
    <w:p>
      <w:pPr>
        <w:pStyle w:val="BodyText"/>
      </w:pPr>
      <w:r>
        <w:t xml:space="preserve">Так как вторая NoSQL-инъекция для повышения привилегий использует</w:t>
      </w:r>
      <w:r>
        <w:t xml:space="preserve"> </w:t>
      </w:r>
      <w:r>
        <w:t xml:space="preserve">высокоуровневый оператор БД $where, временной, смягчающей мерой, может</w:t>
      </w:r>
      <w:r>
        <w:t xml:space="preserve"> </w:t>
      </w:r>
      <w:r>
        <w:t xml:space="preserve">стать отключение выполнения JavaScript на стороне сервера базы данных.</w:t>
      </w:r>
      <w:r>
        <w:t xml:space="preserve"> </w:t>
      </w:r>
      <w:r>
        <w:t xml:space="preserve">Для этого необходимо отредактировать файл конфигурации БД</w:t>
      </w:r>
      <w:r>
        <w:t xml:space="preserve"> </w:t>
      </w:r>
      <w:r>
        <w:t xml:space="preserve">/etc/mongod.conf, добавив строчку javascriptEnabled: false (рис. 15):</w:t>
      </w:r>
    </w:p>
    <w:bookmarkStart w:id="82" w:name="fig:015"/>
    <w:p>
      <w:pPr>
        <w:pStyle w:val="CaptionedFigure"/>
      </w:pPr>
      <w:r>
        <w:drawing>
          <wp:inline>
            <wp:extent cx="5334000" cy="2897798"/>
            <wp:effectExtent b="0" l="0" r="0" t="0"/>
            <wp:docPr descr="Рис. 15: Настройка конфигурации БД" title="" id="80" name="Picture"/>
            <a:graphic>
              <a:graphicData uri="http://schemas.openxmlformats.org/drawingml/2006/picture">
                <pic:pic>
                  <pic:nvPicPr>
                    <pic:cNvPr descr="image/19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977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Настройка конфигурации БД</w:t>
      </w:r>
    </w:p>
    <w:bookmarkEnd w:id="82"/>
    <w:p>
      <w:pPr>
        <w:pStyle w:val="BodyText"/>
      </w:pPr>
      <w:r>
        <w:t xml:space="preserve">Удаление соединений. (рис. 16):</w:t>
      </w:r>
    </w:p>
    <w:bookmarkStart w:id="86" w:name="fig:016"/>
    <w:p>
      <w:pPr>
        <w:pStyle w:val="CaptionedFigure"/>
      </w:pPr>
      <w:r>
        <w:drawing>
          <wp:inline>
            <wp:extent cx="5334000" cy="2205403"/>
            <wp:effectExtent b="0" l="0" r="0" t="0"/>
            <wp:docPr descr="Рис. 16: Удаление соединений" title="" id="84" name="Picture"/>
            <a:graphic>
              <a:graphicData uri="http://schemas.openxmlformats.org/drawingml/2006/picture">
                <pic:pic>
                  <pic:nvPicPr>
                    <pic:cNvPr descr="image/20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054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Удаление соединений</w:t>
      </w:r>
    </w:p>
    <w:bookmarkEnd w:id="86"/>
    <w:bookmarkEnd w:id="87"/>
    <w:bookmarkEnd w:id="88"/>
    <w:bookmarkStart w:id="89" w:name="вывод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выполнения лабораторной работы были изучены и практически освоены методы обнаружения, анализа и устранения сложных многоэтапных кибератак на корпоративную инфраструктуру с использованием учебно-тренировочного комплекса Ampire.</w:t>
      </w:r>
    </w:p>
    <w:p>
      <w:pPr>
        <w:pStyle w:val="BodyText"/>
      </w:pPr>
      <w:r>
        <w:t xml:space="preserve">Были исследованы три критические уязвимости в различных компонентах инфраструктуры:</w:t>
      </w:r>
    </w:p>
    <w:p>
      <w:pPr>
        <w:pStyle w:val="BodyText"/>
      </w:pPr>
      <w:r>
        <w:t xml:space="preserve">WpDiscuz (CVE-2020-24186) – уязвимость удалённого выполнения кода в плагине WordPress, позволяющая загружать и выполнять произвольные PHP-файлы через функционал комментариев.</w:t>
      </w:r>
    </w:p>
    <w:p>
      <w:pPr>
        <w:pStyle w:val="BodyText"/>
      </w:pPr>
      <w:r>
        <w:t xml:space="preserve">Rocket.Chat (CVE-2021-22911, CVE-2022-0847) – комбинация NoSQL-инъекции и уязвимости Dirty Pipe в ядре Linux, приводящая к повышению привилегий и полному компрометированию системы.</w:t>
      </w:r>
    </w:p>
    <w:p>
      <w:pPr>
        <w:pStyle w:val="BodyText"/>
      </w:pPr>
      <w:r>
        <w:t xml:space="preserve">Proxylogon (CVE-2021-26855, CVE-2021-27065) – SSRF-уязвимость в Microsoft Exchange Server, позволяющая обходить аутентификацию и загружать веб-шеллы на сервер.</w:t>
      </w:r>
    </w:p>
    <w:bookmarkEnd w:id="89"/>
    <w:bookmarkStart w:id="90" w:name="список-литератур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Список литературы</w:t>
      </w:r>
    </w:p>
    <w:bookmarkEnd w:id="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46" Target="media/rId46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50" Target="media/rId50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55" Target="media/rId55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3" Target="media/rId8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№2</dc:title>
  <dc:creator>Еюбоглу Т, Зиязетдинов А, Исаев Б| НПИбд-01-22</dc:creator>
  <dc:language>ru-RU</dc:language>
  <cp:keywords/>
  <dcterms:created xsi:type="dcterms:W3CDTF">2025-12-17T21:21:18Z</dcterms:created>
  <dcterms:modified xsi:type="dcterms:W3CDTF">2025-12-17T21:21:18Z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ItemTemplate">
    <vt:lpwstr>lotItemTitleilistItemTitleDelimt </vt:lpwstr>
  </property>
  <property fmtid="{D5CDD505-2E9C-101B-9397-08002B2CF9AE}" pid="54" name="lotItemTitle">
    <vt:lpwstr/>
  </property>
  <property fmtid="{D5CDD505-2E9C-101B-9397-08002B2CF9AE}" pid="55" name="lotTitle">
    <vt:lpwstr>List of Tables</vt:lpwstr>
  </property>
  <property fmtid="{D5CDD505-2E9C-101B-9397-08002B2CF9AE}" pid="56" name="lstLabels">
    <vt:lpwstr>arabic</vt:lpwstr>
  </property>
  <property fmtid="{D5CDD505-2E9C-101B-9397-08002B2CF9AE}" pid="57" name="lstPrefix">
    <vt:lpwstr/>
  </property>
  <property fmtid="{D5CDD505-2E9C-101B-9397-08002B2CF9AE}" pid="58" name="lstPrefixTemplate">
    <vt:lpwstr>p i</vt:lpwstr>
  </property>
  <property fmtid="{D5CDD505-2E9C-101B-9397-08002B2CF9AE}" pid="59" name="mainfont">
    <vt:lpwstr>PT Serif</vt:lpwstr>
  </property>
  <property fmtid="{D5CDD505-2E9C-101B-9397-08002B2CF9AE}" pid="60" name="mainfontoptions">
    <vt:lpwstr>Ligatures=TeX</vt:lpwstr>
  </property>
  <property fmtid="{D5CDD505-2E9C-101B-9397-08002B2CF9AE}" pid="61" name="monofont">
    <vt:lpwstr>PT Mono</vt:lpwstr>
  </property>
  <property fmtid="{D5CDD505-2E9C-101B-9397-08002B2CF9AE}" pid="62" name="monofontoptions">
    <vt:lpwstr>Scale=MatchLowercase,Scale=0.9</vt:lpwstr>
  </property>
  <property fmtid="{D5CDD505-2E9C-101B-9397-08002B2CF9AE}" pid="63" name="nameInLink">
    <vt:lpwstr>False</vt:lpwstr>
  </property>
  <property fmtid="{D5CDD505-2E9C-101B-9397-08002B2CF9AE}" pid="64" name="numberSections">
    <vt:lpwstr>False</vt:lpwstr>
  </property>
  <property fmtid="{D5CDD505-2E9C-101B-9397-08002B2CF9AE}" pid="65" name="pairDelim">
    <vt:lpwstr>, </vt:lpwstr>
  </property>
  <property fmtid="{D5CDD505-2E9C-101B-9397-08002B2CF9AE}" pid="66" name="papersize">
    <vt:lpwstr>a4</vt:lpwstr>
  </property>
  <property fmtid="{D5CDD505-2E9C-101B-9397-08002B2CF9AE}" pid="67" name="polyglossia-lang">
    <vt:lpwstr/>
  </property>
  <property fmtid="{D5CDD505-2E9C-101B-9397-08002B2CF9AE}" pid="68" name="polyglossia-otherlangs">
    <vt:lpwstr/>
  </property>
  <property fmtid="{D5CDD505-2E9C-101B-9397-08002B2CF9AE}" pid="69" name="rangeDelim">
    <vt:lpwstr>-</vt:lpwstr>
  </property>
  <property fmtid="{D5CDD505-2E9C-101B-9397-08002B2CF9AE}" pid="70" name="refDelim">
    <vt:lpwstr>, </vt:lpwstr>
  </property>
  <property fmtid="{D5CDD505-2E9C-101B-9397-08002B2CF9AE}" pid="71" name="refIndexTemplate">
    <vt:lpwstr>isuf</vt:lpwstr>
  </property>
  <property fmtid="{D5CDD505-2E9C-101B-9397-08002B2CF9AE}" pid="72" name="romanfont">
    <vt:lpwstr>PT Serif</vt:lpwstr>
  </property>
  <property fmtid="{D5CDD505-2E9C-101B-9397-08002B2CF9AE}" pid="73" name="romanfontoptions">
    <vt:lpwstr>Ligatures=TeX</vt:lpwstr>
  </property>
  <property fmtid="{D5CDD505-2E9C-101B-9397-08002B2CF9AE}" pid="74" name="sansfont">
    <vt:lpwstr>PT Sans</vt:lpwstr>
  </property>
  <property fmtid="{D5CDD505-2E9C-101B-9397-08002B2CF9AE}" pid="75" name="sansfontoptions">
    <vt:lpwstr>Ligatures=TeX,Scale=MatchLowercase</vt:lpwstr>
  </property>
  <property fmtid="{D5CDD505-2E9C-101B-9397-08002B2CF9AE}" pid="76" name="secHeaderDelim">
    <vt:lpwstr> </vt:lpwstr>
  </property>
  <property fmtid="{D5CDD505-2E9C-101B-9397-08002B2CF9AE}" pid="77" name="secHeaderTemplate">
    <vt:lpwstr>isecHeaderDelim[n]t</vt:lpwstr>
  </property>
  <property fmtid="{D5CDD505-2E9C-101B-9397-08002B2CF9AE}" pid="78" name="secLabels">
    <vt:lpwstr>arabic</vt:lpwstr>
  </property>
  <property fmtid="{D5CDD505-2E9C-101B-9397-08002B2CF9AE}" pid="79" name="secPrefix">
    <vt:lpwstr/>
  </property>
  <property fmtid="{D5CDD505-2E9C-101B-9397-08002B2CF9AE}" pid="80" name="secPrefixTemplate">
    <vt:lpwstr>p i</vt:lpwstr>
  </property>
  <property fmtid="{D5CDD505-2E9C-101B-9397-08002B2CF9AE}" pid="81" name="sectionsDepth">
    <vt:lpwstr>0</vt:lpwstr>
  </property>
  <property fmtid="{D5CDD505-2E9C-101B-9397-08002B2CF9AE}" pid="82" name="subfigGrid">
    <vt:lpwstr>False</vt:lpwstr>
  </property>
  <property fmtid="{D5CDD505-2E9C-101B-9397-08002B2CF9AE}" pid="83" name="subfigLabels">
    <vt:lpwstr>alpha a</vt:lpwstr>
  </property>
  <property fmtid="{D5CDD505-2E9C-101B-9397-08002B2CF9AE}" pid="84" name="subfigureChildTemplate">
    <vt:lpwstr>i</vt:lpwstr>
  </property>
  <property fmtid="{D5CDD505-2E9C-101B-9397-08002B2CF9AE}" pid="85" name="subfigureRefIndexTemplate">
    <vt:lpwstr>isuf (s)</vt:lpwstr>
  </property>
  <property fmtid="{D5CDD505-2E9C-101B-9397-08002B2CF9AE}" pid="86" name="subfigureTemplate">
    <vt:lpwstr>figureTitle ititleDelim t. ccs</vt:lpwstr>
  </property>
  <property fmtid="{D5CDD505-2E9C-101B-9397-08002B2CF9AE}" pid="87" name="subtitle">
    <vt:lpwstr>Кибербезопасность предприятия</vt:lpwstr>
  </property>
  <property fmtid="{D5CDD505-2E9C-101B-9397-08002B2CF9AE}" pid="88" name="tableEqns">
    <vt:lpwstr>False</vt:lpwstr>
  </property>
  <property fmtid="{D5CDD505-2E9C-101B-9397-08002B2CF9AE}" pid="89" name="tableTemplate">
    <vt:lpwstr>tableTitle ititleDelim t</vt:lpwstr>
  </property>
  <property fmtid="{D5CDD505-2E9C-101B-9397-08002B2CF9AE}" pid="90" name="tableTitle">
    <vt:lpwstr>Таблица</vt:lpwstr>
  </property>
  <property fmtid="{D5CDD505-2E9C-101B-9397-08002B2CF9AE}" pid="91" name="tblLabels">
    <vt:lpwstr>arabic</vt:lpwstr>
  </property>
  <property fmtid="{D5CDD505-2E9C-101B-9397-08002B2CF9AE}" pid="92" name="tblPrefix">
    <vt:lpwstr/>
  </property>
  <property fmtid="{D5CDD505-2E9C-101B-9397-08002B2CF9AE}" pid="93" name="tblPrefixTemplate">
    <vt:lpwstr>p i</vt:lpwstr>
  </property>
  <property fmtid="{D5CDD505-2E9C-101B-9397-08002B2CF9AE}" pid="94" name="titleDelim">
    <vt:lpwstr>:</vt:lpwstr>
  </property>
  <property fmtid="{D5CDD505-2E9C-101B-9397-08002B2CF9AE}" pid="95" name="toc">
    <vt:lpwstr>True</vt:lpwstr>
  </property>
  <property fmtid="{D5CDD505-2E9C-101B-9397-08002B2CF9AE}" pid="96" name="toc-depth">
    <vt:lpwstr>2</vt:lpwstr>
  </property>
  <property fmtid="{D5CDD505-2E9C-101B-9397-08002B2CF9AE}" pid="97" name="toc-title">
    <vt:lpwstr>Содержание</vt:lpwstr>
  </property>
</Properties>
</file>