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2026-10-06 — 797 of 798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342 frontend and 456 backend test cases are registered, covering every module in frontend/src and backend/. Integration tests, end-to-end (browser) tests, the PostgreSQL migration suites (test/sprint2_sql.mjs, test/significant_event_changes_sql.mjs)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lints the code,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(.github/workflows/ci.yml) runs on every push to main and every pull request. Its backend and frontend jobs run lint, the unit tests and the coverage gates (backend 90% of lines, set in .coveragerc; frontend thresholds in frontend/vitest.config.js); a security job scans for committed secrets and known-vulnerable dependencies; and a register job rebuilds this document and attaches it to the run as the unit-test-cases artifact. A run fails if lint finds a problem, if any test fails, if a test has no tc(...) / @tc(...) metadata, if a test case ID is duplicated, or if coverage drops below the gates.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2026-10-09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2026-10-07,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2026-10-08, end 2026-10-07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2026-10-07 09:00 to 2026-10-09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342 / 342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455 / 456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2026-10-06T12:24:37.274Z</dcterms:created>
  <dcterms:modified xsi:type="dcterms:W3CDTF">2026-10-06T12:24:37.274Z</dcterms:modified>
</cp:coreProperties>
</file>

<file path=docProps/custom.xml><?xml version="1.0" encoding="utf-8"?>
<Properties xmlns="http://schemas.openxmlformats.org/officeDocument/2006/custom-properties" xmlns:vt="http://schemas.openxmlformats.org/officeDocument/2006/docPropsVTypes"/>
</file>