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default"/>
        </w:rPr>
      </w:pPr>
    </w:p>
    <w:p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</w:t>
      </w:r>
      <w:r>
        <w:rPr>
          <w:rStyle w:val="9"/>
          <w:rFonts w:hint="eastAsia"/>
          <w:lang w:val="en-US" w:eastAsia="zh-CN"/>
        </w:rPr>
        <w:t xml:space="preserve">         选题范围参考</w:t>
      </w:r>
    </w:p>
    <w:p>
      <w:pPr>
        <w:bidi w:val="0"/>
        <w:rPr>
          <w:b/>
          <w:bCs/>
        </w:rPr>
      </w:pPr>
      <w:r>
        <w:rPr>
          <w:rFonts w:hint="default"/>
          <w:b/>
          <w:bCs/>
        </w:rPr>
        <w:t>选题1：智慧校园助手平台</w:t>
      </w:r>
    </w:p>
    <w:p>
      <w:pPr>
        <w:bidi w:val="0"/>
      </w:pPr>
    </w:p>
    <w:p>
      <w:pPr>
        <w:bidi w:val="0"/>
      </w:pPr>
      <w:r>
        <w:t>传统业务域</w:t>
      </w:r>
      <w:r>
        <w:rPr>
          <w:rFonts w:hint="default"/>
        </w:rPr>
        <w:t>：学生信息管理、课程表管理、教室预约、校园通知发布、考试成绩查询</w:t>
      </w:r>
      <w:r>
        <w:rPr>
          <w:rFonts w:hint="eastAsia"/>
          <w:lang w:val="en-US" w:eastAsia="zh-CN"/>
        </w:rPr>
        <w:t>等</w:t>
      </w:r>
      <w:r>
        <w:rPr>
          <w:rFonts w:hint="default"/>
        </w:rPr>
        <w:t>。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AI智能域：基于RAG的校园规章制度问答（学生手册、选课政策）、智能排课建议（冲突检测与优化）、学生学业预警分析（基于成绩趋势）、自动生成课程摘要与复习提纲。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选题2：医疗健康问诊辅助系统</w:t>
      </w:r>
    </w:p>
    <w:p>
      <w:pPr>
        <w:bidi w:val="0"/>
      </w:pPr>
    </w:p>
    <w:p>
      <w:pPr>
        <w:bidi w:val="0"/>
      </w:pPr>
      <w:r>
        <w:rPr>
          <w:rFonts w:hint="default"/>
        </w:rPr>
        <w:t>传统业务域：患者档案管理、医生排班管理、预约挂号、电子病历存储、药品库存管理。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AI智能域：症状自诊问答（RAG+医学知识库）、智能分诊推荐（推荐科室）、病历自动摘要生成、用药提醒与禁忌分析（Function Calling）、影像报告初步异常检测（调用外部AI模型）。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选题3：电商智能运营中台</w:t>
      </w:r>
    </w:p>
    <w:p>
      <w:pPr>
        <w:bidi w:val="0"/>
      </w:pPr>
    </w:p>
    <w:p>
      <w:pPr>
        <w:bidi w:val="0"/>
      </w:pPr>
      <w:r>
        <w:rPr>
          <w:rFonts w:hint="default"/>
        </w:rPr>
        <w:t>传统业务域：商品管理、订单管理、库存管理、会员等级管理、营销活动配置、售后工单流转</w:t>
      </w:r>
      <w:r>
        <w:rPr>
          <w:rFonts w:hint="eastAsia"/>
          <w:lang w:val="en-US" w:eastAsia="zh-CN"/>
        </w:rPr>
        <w:t>等</w:t>
      </w:r>
      <w:r>
        <w:rPr>
          <w:rFonts w:hint="default"/>
        </w:rPr>
        <w:t>。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AI智能域：智能客服（商品咨询、退换货政策问答）、客户评论情感分析（情绪识别）、智能推荐（基于协同过滤+大模型）、自动生成营销文案与活动策划建议。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选题4：物流调度平台</w:t>
      </w:r>
    </w:p>
    <w:p>
      <w:pPr>
        <w:bidi w:val="0"/>
      </w:pPr>
    </w:p>
    <w:p>
      <w:pPr>
        <w:bidi w:val="0"/>
      </w:pPr>
      <w:r>
        <w:rPr>
          <w:rFonts w:hint="default"/>
        </w:rPr>
        <w:t>传统业务域：运单管理、车辆/司机管理、路线规划（基础静态数据）、仓储货位管理、签收与异常上报。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AI智能域：智能路径优化（实时交通预测）、运单延迟预警与原因分析、货物破损图像识别（调用多模态模型）、客服问答（运费计算、时效查询）、自动化异常工单创建（延误/损坏）。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选题5：金融风控与投顾助手</w:t>
      </w:r>
    </w:p>
    <w:p>
      <w:pPr>
        <w:bidi w:val="0"/>
      </w:pPr>
    </w:p>
    <w:p>
      <w:pPr>
        <w:bidi w:val="0"/>
      </w:pPr>
      <w:r>
        <w:rPr>
          <w:rFonts w:hint="default"/>
        </w:rPr>
        <w:t>传统业务域：客户账户管理、交易流水记录、贷款审批流程、征信数据管理、报表统计。</w:t>
      </w:r>
    </w:p>
    <w:p>
      <w:pPr>
        <w:bidi w:val="0"/>
      </w:pPr>
    </w:p>
    <w:p>
      <w:pPr>
        <w:bidi w:val="0"/>
      </w:pPr>
      <w:r>
        <w:rPr>
          <w:rFonts w:hint="default"/>
        </w:rPr>
        <w:t>AI智能域：智能投顾问答（基金/股票知识库）、贷款风险等级自动评估（结合结构化数据+文本描述）、异常交易行为检测（序列分析）、合同条款自动摘要与风险点提取。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选题6：招聘与人才管理平台</w:t>
      </w:r>
    </w:p>
    <w:p>
      <w:pPr>
        <w:bidi w:val="0"/>
      </w:pPr>
    </w:p>
    <w:p>
      <w:pPr>
        <w:bidi w:val="0"/>
      </w:pPr>
      <w:r>
        <w:rPr>
          <w:rFonts w:hint="default"/>
        </w:rPr>
        <w:t>传统业务域：职位发布、简历接收与筛选、面试安排、Offer管理、入职流程、员工档案。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AI智能域：简历与职位匹配度评分（RAG+语义检索）、智能面试问答生成（针对候选人经历）、面试反馈自动摘要、员工离职倾向预测（情感分析+行为数据）。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选题7：物业与社区服务平台</w:t>
      </w:r>
    </w:p>
    <w:p>
      <w:pPr>
        <w:bidi w:val="0"/>
      </w:pPr>
    </w:p>
    <w:p>
      <w:pPr>
        <w:bidi w:val="0"/>
      </w:pPr>
      <w:r>
        <w:rPr>
          <w:rFonts w:hint="default"/>
        </w:rPr>
        <w:t>传统业务域：房产/业主信息管理、报修工单流转、缴费记录、停车位管理、访客登记。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AI智能域：智能报修问答（常见问题自助解决）、报修描述自动分类与紧急程度判断、社区公告智能生成、业主投诉情感分析、设备故障预测（基于历史数据）。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选题8：在线教育辅助教学系统</w:t>
      </w:r>
    </w:p>
    <w:p>
      <w:pPr>
        <w:bidi w:val="0"/>
      </w:pPr>
    </w:p>
    <w:p>
      <w:pPr>
        <w:bidi w:val="0"/>
      </w:pPr>
      <w:r>
        <w:rPr>
          <w:rFonts w:hint="default"/>
        </w:rPr>
        <w:t>传统业务域：课程管理、学生选课、作业提交与打分、考试安排、成绩统计、论坛讨论区。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AI智能域：智能答疑助手（课程知识库RAG）、自动生成作业批改评语、学习进度预警（挂科风险）、自动生成章节知识点摘要、智能组卷建议（根据难度分布）。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选题9：智慧餐饮供应链管理</w:t>
      </w:r>
    </w:p>
    <w:p>
      <w:pPr>
        <w:bidi w:val="0"/>
      </w:pPr>
    </w:p>
    <w:p>
      <w:pPr>
        <w:bidi w:val="0"/>
      </w:pPr>
      <w:r>
        <w:rPr>
          <w:rFonts w:hint="default"/>
        </w:rPr>
        <w:t>传统业务域：菜品管理、原料库存、采购订单、供应商管理、门店销售数据汇总。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AI智能域：智能菜谱推荐（根据库存和时令）、销量预测（时间序列+文本舆情）、客户点评情感分析（菜品改进建议）、自动生成采购计划（结合预测）、食品安全预警（过期/召回）。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选题10：智能制造设备运维平台</w:t>
      </w:r>
    </w:p>
    <w:p>
      <w:pPr>
        <w:bidi w:val="0"/>
      </w:pPr>
    </w:p>
    <w:p>
      <w:pPr>
        <w:bidi w:val="0"/>
      </w:pPr>
      <w:r>
        <w:rPr>
          <w:rFonts w:hint="default"/>
        </w:rPr>
        <w:t>传统业务域：设备台账管理、巡检计划、维修工单、备件库存、运维人员排班。</w:t>
      </w:r>
    </w:p>
    <w:p>
      <w:pPr>
        <w:bidi w:val="0"/>
      </w:pPr>
    </w:p>
    <w:p>
      <w:pPr>
        <w:bidi w:val="0"/>
      </w:pPr>
      <w:r>
        <w:rPr>
          <w:rFonts w:hint="default"/>
        </w:rPr>
        <w:t>AI智能域：设备故障诊断问答（操作手册RAG）、巡检记录自动摘要与异常识别、预测性维护建议（基于传感器数据+大模型推理）、维修方案智能生成（历史案例检索）。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选题11：文旅服务平台</w:t>
      </w:r>
    </w:p>
    <w:p>
      <w:pPr>
        <w:bidi w:val="0"/>
      </w:pPr>
    </w:p>
    <w:p>
      <w:pPr>
        <w:bidi w:val="0"/>
      </w:pPr>
      <w:r>
        <w:rPr>
          <w:rFonts w:hint="default"/>
        </w:rPr>
        <w:t>传统业务域：景点/场馆管理、票务系统、酒店/交通预订、游客评价管理、活动排期。</w:t>
      </w:r>
    </w:p>
    <w:p>
      <w:pPr>
        <w:bidi w:val="0"/>
      </w:pPr>
    </w:p>
    <w:p>
      <w:pPr>
        <w:bidi w:val="0"/>
      </w:pPr>
      <w:r>
        <w:rPr>
          <w:rFonts w:hint="default"/>
        </w:rPr>
        <w:t>AI智能域：智能导游问答（景点历史/文化RAG）、游客画像分析（兴趣偏好）、自动生成行程规划（多目标优化）、评论情感分析（服务质量监控）、智能语音讲解词生成（多语种）。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选题12：法务合同智能管理平台</w:t>
      </w:r>
    </w:p>
    <w:p>
      <w:pPr>
        <w:bidi w:val="0"/>
      </w:pPr>
    </w:p>
    <w:p>
      <w:pPr>
        <w:bidi w:val="0"/>
      </w:pPr>
      <w:r>
        <w:rPr>
          <w:rFonts w:hint="default"/>
        </w:rPr>
        <w:t>传统业务域：合同模板管理、合同签署流程、归档存储、到期提醒、客户/律所信息管理。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AI智能域：合同条款风险审查（RAG+法律知识库）、自动生成合同摘要与关键条款提取、智能问答（法律咨询常见问题）、合同对比差异分析（版本比对）、诉讼案件相似案例检索。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  <w:b/>
          <w:bCs/>
          <w:sz w:val="32"/>
          <w:szCs w:val="40"/>
        </w:rPr>
      </w:pPr>
      <w:r>
        <w:rPr>
          <w:rFonts w:hint="default"/>
          <w:b/>
          <w:bCs/>
          <w:sz w:val="32"/>
          <w:szCs w:val="40"/>
        </w:rPr>
        <w:t>通用设计建议（适用于上述任一选题）：</w:t>
      </w:r>
    </w:p>
    <w:p>
      <w:pPr>
        <w:bidi w:val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参考本次实训方案中的下面这段话：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ind w:left="360" w:leftChars="0"/>
              <w:rPr>
                <w:rFonts w:hint="default" w:eastAsiaTheme="minorEastAsia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本智能客服云平台分为两块：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rFonts w:hint="eastAsia"/>
                <w:b/>
                <w:bCs/>
              </w:rPr>
              <w:t>传统业务域（Biz）</w:t>
            </w:r>
            <w:r>
              <w:rPr>
                <w:rFonts w:hint="eastAsia"/>
              </w:rPr>
              <w:t>：客服排班管理、客户CRM管理、工单流转中心、会话消息路由、数据报表统计。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AI智能域（AI-Native）</w:t>
            </w:r>
            <w:r>
              <w:rPr>
                <w:rFonts w:hint="eastAsia"/>
              </w:rPr>
              <w:t>：基于RAG的企业知识库自动问答、客户情绪实时分析、会话自动摘要、智能工单自动提取与创建、客服坐席AI实时辅助回复。</w:t>
            </w:r>
          </w:p>
          <w:p>
            <w:pPr>
              <w:pStyle w:val="10"/>
              <w:rPr>
                <w:rFonts w:hint="eastAsia"/>
              </w:rPr>
            </w:pPr>
          </w:p>
          <w:p>
            <w:pPr>
              <w:pStyle w:val="10"/>
            </w:pPr>
            <w:r>
              <w:rPr>
                <w:rFonts w:hint="eastAsia"/>
              </w:rPr>
              <w:t>为避免18天内陷入“微服务配置地狱”，本项目采用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“1个网关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2个核心微服务”</w:t>
            </w:r>
            <w:r>
              <w:t xml:space="preserve"> </w:t>
            </w:r>
            <w:r>
              <w:rPr>
                <w:rFonts w:hint="eastAsia"/>
              </w:rPr>
              <w:t>的极简且合理的架构：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Style w:val="11"/>
                <w:b/>
                <w:bCs/>
              </w:rPr>
              <w:t>qiyun-gateway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(API网关)</w:t>
            </w:r>
            <w:r>
              <w:rPr>
                <w:rFonts w:hint="eastAsia"/>
              </w:rPr>
              <w:t>：负责统一JWT鉴权、跨域处理、全局限流（防止恶意刷大模型API）。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Style w:val="11"/>
                <w:b/>
                <w:bCs/>
              </w:rPr>
              <w:t>qiyun-biz-service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(传统业务服务)</w:t>
            </w:r>
            <w:r>
              <w:rPr>
                <w:rFonts w:hint="eastAsia"/>
              </w:rPr>
              <w:t>：负责强一致性的CRUD业务（用户、工单、会话存储）。</w:t>
            </w:r>
          </w:p>
          <w:p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Style w:val="11"/>
                <w:b/>
                <w:bCs/>
              </w:rPr>
              <w:t>qiyun-ai-service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(AI智能体服务)</w:t>
            </w:r>
            <w:r>
              <w:rPr>
                <w:rFonts w:hint="eastAsia"/>
              </w:rPr>
              <w:t>：无状态服务，专门处理耗时的RAG检索、大模型对话、情绪分析。</w:t>
            </w:r>
            <w:r>
              <w:rPr>
                <w:rFonts w:hint="eastAsia"/>
                <w:b/>
                <w:bCs/>
              </w:rPr>
              <w:t>（核心设计：AI算力与业务逻辑物理隔离，独立扩缩容）</w:t>
            </w:r>
          </w:p>
        </w:tc>
      </w:tr>
    </w:tbl>
    <w:p>
      <w:pPr>
        <w:bidi w:val="0"/>
      </w:pPr>
    </w:p>
    <w:p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经分析后，给同学们一个通用设计建议：</w:t>
      </w:r>
    </w:p>
    <w:p>
      <w:pPr>
        <w:bidi w:val="0"/>
        <w:rPr>
          <w:sz w:val="24"/>
          <w:szCs w:val="32"/>
        </w:rPr>
      </w:pPr>
      <w:r>
        <w:rPr>
          <w:rFonts w:hint="default"/>
          <w:sz w:val="24"/>
          <w:szCs w:val="32"/>
        </w:rPr>
        <w:t>传统业务域：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default"/>
          <w:sz w:val="24"/>
          <w:szCs w:val="32"/>
        </w:rPr>
        <w:t>建议采用</w:t>
      </w:r>
      <w:r>
        <w:rPr>
          <w:rFonts w:hint="default"/>
          <w:b/>
          <w:bCs/>
          <w:sz w:val="24"/>
          <w:szCs w:val="32"/>
        </w:rPr>
        <w:t>“1个网关 + 1个业务微服务</w:t>
      </w:r>
      <w:r>
        <w:rPr>
          <w:rFonts w:hint="default"/>
          <w:sz w:val="24"/>
          <w:szCs w:val="32"/>
        </w:rPr>
        <w:t>”的轻量架构，提供RESTful API，包含JWT鉴权、</w:t>
      </w:r>
      <w:r>
        <w:rPr>
          <w:rFonts w:hint="eastAsia"/>
          <w:sz w:val="24"/>
          <w:szCs w:val="32"/>
          <w:lang w:val="en-US" w:eastAsia="zh-CN"/>
        </w:rPr>
        <w:t>跨域</w:t>
      </w:r>
      <w:r>
        <w:rPr>
          <w:rFonts w:hint="default"/>
          <w:sz w:val="24"/>
          <w:szCs w:val="32"/>
        </w:rPr>
        <w:t>处理</w:t>
      </w:r>
      <w:r>
        <w:rPr>
          <w:rFonts w:hint="eastAsia"/>
          <w:sz w:val="24"/>
          <w:szCs w:val="32"/>
          <w:lang w:val="en-US" w:eastAsia="zh-CN"/>
        </w:rPr>
        <w:t>等</w:t>
      </w:r>
      <w:r>
        <w:rPr>
          <w:rFonts w:hint="default"/>
          <w:sz w:val="24"/>
          <w:szCs w:val="32"/>
        </w:rPr>
        <w:t>。</w:t>
      </w:r>
    </w:p>
    <w:p>
      <w:pPr>
        <w:bidi w:val="0"/>
        <w:rPr>
          <w:sz w:val="24"/>
          <w:szCs w:val="32"/>
        </w:rPr>
      </w:pPr>
    </w:p>
    <w:p>
      <w:pPr>
        <w:bidi w:val="0"/>
        <w:rPr>
          <w:sz w:val="24"/>
          <w:szCs w:val="32"/>
        </w:rPr>
      </w:pPr>
      <w:r>
        <w:rPr>
          <w:rFonts w:hint="default"/>
          <w:sz w:val="24"/>
          <w:szCs w:val="32"/>
        </w:rPr>
        <w:t>AI智能域：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default"/>
          <w:sz w:val="24"/>
          <w:szCs w:val="32"/>
        </w:rPr>
        <w:t>独立</w:t>
      </w:r>
      <w:r>
        <w:rPr>
          <w:rFonts w:hint="eastAsia"/>
          <w:sz w:val="24"/>
          <w:szCs w:val="32"/>
          <w:lang w:val="en-US" w:eastAsia="zh-CN"/>
        </w:rPr>
        <w:t>设计</w:t>
      </w:r>
      <w:r>
        <w:rPr>
          <w:rFonts w:hint="default"/>
          <w:sz w:val="24"/>
          <w:szCs w:val="32"/>
        </w:rPr>
        <w:t>为“</w:t>
      </w:r>
      <w:r>
        <w:rPr>
          <w:rFonts w:hint="default"/>
          <w:b/>
          <w:bCs/>
          <w:sz w:val="24"/>
          <w:szCs w:val="32"/>
        </w:rPr>
        <w:t>AI</w:t>
      </w:r>
      <w:r>
        <w:rPr>
          <w:rFonts w:hint="eastAsia"/>
          <w:b/>
          <w:bCs/>
          <w:sz w:val="24"/>
          <w:szCs w:val="32"/>
          <w:lang w:val="en-US" w:eastAsia="zh-CN"/>
        </w:rPr>
        <w:t>智能体</w:t>
      </w:r>
      <w:r>
        <w:rPr>
          <w:rFonts w:hint="default"/>
          <w:b/>
          <w:bCs/>
          <w:sz w:val="24"/>
          <w:szCs w:val="32"/>
        </w:rPr>
        <w:t>微服务</w:t>
      </w:r>
      <w:r>
        <w:rPr>
          <w:rFonts w:hint="default"/>
          <w:sz w:val="24"/>
          <w:szCs w:val="32"/>
        </w:rPr>
        <w:t>”，通过OpenFeign或消息队列与业务服务解耦，集成Spring AI，使用Milvus/Qdrant作为向量库，实现RAG检索、</w:t>
      </w:r>
      <w:r>
        <w:rPr>
          <w:rFonts w:hint="eastAsia"/>
          <w:sz w:val="24"/>
          <w:szCs w:val="32"/>
          <w:lang w:val="en-US" w:eastAsia="zh-CN"/>
        </w:rPr>
        <w:t>大模型对话</w:t>
      </w:r>
      <w:r>
        <w:rPr>
          <w:rFonts w:hint="default"/>
          <w:sz w:val="24"/>
          <w:szCs w:val="32"/>
        </w:rPr>
        <w:t>、流式输出（SSE）</w:t>
      </w:r>
      <w:r>
        <w:rPr>
          <w:rFonts w:hint="eastAsia"/>
          <w:sz w:val="24"/>
          <w:szCs w:val="32"/>
          <w:lang w:val="en-US" w:eastAsia="zh-CN"/>
        </w:rPr>
        <w:t>等</w:t>
      </w:r>
      <w:r>
        <w:rPr>
          <w:rFonts w:hint="default"/>
          <w:sz w:val="24"/>
          <w:szCs w:val="32"/>
        </w:rPr>
        <w:t>。</w:t>
      </w:r>
    </w:p>
    <w:p>
      <w:pPr>
        <w:bidi w:val="0"/>
      </w:pPr>
    </w:p>
    <w:p>
      <w:pPr>
        <w:bidi w:val="0"/>
      </w:pPr>
    </w:p>
    <w:p>
      <w:pPr>
        <w:bidi w:val="0"/>
        <w:rPr>
          <w:rFonts w:hint="eastAsia" w:eastAsiaTheme="minorEastAsia"/>
          <w:lang w:val="en-US" w:eastAsia="zh-CN"/>
        </w:rPr>
      </w:pPr>
      <w:r>
        <w:rPr>
          <w:rFonts w:hint="default"/>
        </w:rPr>
        <w:t>团队分工：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~</w:t>
      </w:r>
      <w:r>
        <w:rPr>
          <w:rFonts w:hint="eastAsia"/>
          <w:lang w:val="en-US" w:eastAsia="zh-CN"/>
        </w:rPr>
        <w:t>4</w:t>
      </w:r>
      <w:r>
        <w:rPr>
          <w:rFonts w:hint="default"/>
        </w:rPr>
        <w:t>人团队，分前端（Vue3）、后端业务、后端AI、测试/运维角色</w:t>
      </w:r>
      <w:r>
        <w:rPr>
          <w:rFonts w:hint="eastAsia"/>
          <w:lang w:eastAsia="zh-CN"/>
        </w:rPr>
        <w:t>。</w:t>
      </w:r>
    </w:p>
    <w:p>
      <w:pPr>
        <w:bidi w:val="0"/>
      </w:pPr>
    </w:p>
    <w:p>
      <w:pPr>
        <w:bidi w:val="0"/>
      </w:pPr>
      <w:r>
        <w:rPr>
          <w:rFonts w:hint="default"/>
        </w:rPr>
        <w:t>交付物：需求规格说明书、</w:t>
      </w:r>
      <w:r>
        <w:rPr>
          <w:rFonts w:hint="eastAsia"/>
          <w:lang w:val="en-US" w:eastAsia="zh-CN"/>
        </w:rPr>
        <w:t>概要设计与详细</w:t>
      </w:r>
      <w:r>
        <w:rPr>
          <w:rFonts w:hint="default"/>
        </w:rPr>
        <w:t>设计文档</w:t>
      </w:r>
      <w:r>
        <w:rPr>
          <w:rFonts w:hint="eastAsia"/>
          <w:lang w:val="en-US" w:eastAsia="zh-CN"/>
        </w:rPr>
        <w:t>(含</w:t>
      </w:r>
      <w:r>
        <w:rPr>
          <w:rFonts w:hint="default"/>
        </w:rPr>
        <w:t>数据库ER图</w:t>
      </w:r>
      <w:r>
        <w:rPr>
          <w:rFonts w:hint="eastAsia"/>
          <w:lang w:val="en-US" w:eastAsia="zh-CN"/>
        </w:rPr>
        <w:t>)</w:t>
      </w:r>
      <w:r>
        <w:rPr>
          <w:rFonts w:hint="default"/>
        </w:rPr>
        <w:t>、</w:t>
      </w:r>
      <w:r>
        <w:rPr>
          <w:rFonts w:hint="eastAsia"/>
          <w:lang w:val="en-US" w:eastAsia="zh-CN"/>
        </w:rPr>
        <w:t>实训</w:t>
      </w:r>
      <w:r>
        <w:rPr>
          <w:rFonts w:hint="default"/>
        </w:rPr>
        <w:t>报告</w:t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技术栈清单参考：</w:t>
      </w:r>
    </w:p>
    <w:p>
      <w:pPr>
        <w:rPr>
          <w:rFonts w:hint="eastAsia"/>
          <w:lang w:val="en-US" w:eastAsia="zh-CN"/>
        </w:rPr>
      </w:pPr>
    </w:p>
    <w:tbl>
      <w:tblPr>
        <w:tblStyle w:val="1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2441"/>
        <w:gridCol w:w="5116"/>
      </w:tblGrid>
      <w:tr>
        <w:trPr>
          <w:tblHeader/>
        </w:trPr>
        <w:tc>
          <w:p>
            <w:pPr>
              <w:pStyle w:val="14"/>
            </w:pPr>
            <w:r>
              <w:rPr>
                <w:rFonts w:hint="eastAsia"/>
              </w:rPr>
              <w:t>技术领域</w:t>
            </w:r>
          </w:p>
        </w:tc>
        <w:tc>
          <w:tcPr>
            <w:tcW w:w="2441" w:type="dxa"/>
          </w:tcPr>
          <w:p>
            <w:pPr>
              <w:pStyle w:val="14"/>
            </w:pPr>
            <w:r>
              <w:rPr>
                <w:rFonts w:hint="eastAsia"/>
              </w:rPr>
              <w:t>技术选型与版本要求</w:t>
            </w:r>
          </w:p>
        </w:tc>
        <w:tc>
          <w:tcPr>
            <w:tcW w:w="5116" w:type="dxa"/>
          </w:tcPr>
          <w:p>
            <w:pPr>
              <w:pStyle w:val="14"/>
            </w:pPr>
            <w:r>
              <w:rPr>
                <w:rFonts w:hint="eastAsia"/>
              </w:rPr>
              <w:t>选型说明（2026版）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4"/>
            </w:pPr>
            <w:r>
              <w:rPr>
                <w:rFonts w:hint="eastAsia"/>
                <w:b/>
                <w:bCs/>
              </w:rPr>
              <w:t>基础底座</w:t>
            </w:r>
          </w:p>
        </w:tc>
        <w:tc>
          <w:tcPr>
            <w:tcW w:w="2441" w:type="dxa"/>
          </w:tcPr>
          <w:p>
            <w:pPr>
              <w:pStyle w:val="14"/>
            </w:pPr>
            <w:r>
              <w:t>JDK 21, Spring Boot 3.x</w:t>
            </w:r>
          </w:p>
        </w:tc>
        <w:tc>
          <w:tcPr>
            <w:tcW w:w="5116" w:type="dxa"/>
          </w:tcPr>
          <w:p>
            <w:pPr>
              <w:pStyle w:val="14"/>
            </w:pPr>
            <w:r>
              <w:rPr>
                <w:rFonts w:hint="eastAsia"/>
              </w:rPr>
              <w:t>利用JDK</w:t>
            </w:r>
            <w:r>
              <w:t xml:space="preserve"> 21</w:t>
            </w:r>
            <w:r>
              <w:rPr>
                <w:rFonts w:hint="eastAsia"/>
                <w:b/>
                <w:bCs/>
              </w:rPr>
              <w:t>虚拟线程</w:t>
            </w:r>
            <w:r>
              <w:rPr>
                <w:rFonts w:hint="eastAsia"/>
              </w:rPr>
              <w:t>解决AI大模型长连接I/O阻塞瓶颈。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4"/>
            </w:pPr>
            <w:r>
              <w:rPr>
                <w:rFonts w:hint="eastAsia"/>
                <w:b/>
                <w:bCs/>
              </w:rPr>
              <w:t>微服务框架</w:t>
            </w:r>
          </w:p>
        </w:tc>
        <w:tc>
          <w:tcPr>
            <w:tcW w:w="2441" w:type="dxa"/>
          </w:tcPr>
          <w:p>
            <w:pPr>
              <w:pStyle w:val="14"/>
            </w:pPr>
            <w:r>
              <w:t xml:space="preserve">Spring Cloud Alibaba </w:t>
            </w:r>
            <w:r>
              <w:rPr>
                <w:rFonts w:hint="eastAsia"/>
              </w:rPr>
              <w:t>(轻量级)</w:t>
            </w:r>
          </w:p>
        </w:tc>
        <w:tc>
          <w:tcPr>
            <w:tcW w:w="5116" w:type="dxa"/>
          </w:tcPr>
          <w:p>
            <w:pPr>
              <w:pStyle w:val="14"/>
            </w:pPr>
            <w:r>
              <w:rPr>
                <w:rFonts w:hint="eastAsia"/>
              </w:rPr>
              <w:t>仅采用</w:t>
            </w:r>
            <w:r>
              <w:t xml:space="preserve"> </w:t>
            </w:r>
            <w:r>
              <w:rPr>
                <w:b/>
                <w:bCs/>
              </w:rPr>
              <w:t>Nacos</w:t>
            </w:r>
            <w:r>
              <w:t xml:space="preserve"> </w:t>
            </w:r>
            <w:r>
              <w:rPr>
                <w:rFonts w:hint="eastAsia"/>
              </w:rPr>
              <w:t>(注册/配置)、</w:t>
            </w:r>
            <w:r>
              <w:rPr>
                <w:b/>
                <w:bCs/>
              </w:rPr>
              <w:t>Gateway</w:t>
            </w:r>
            <w:r>
              <w:t xml:space="preserve"> </w:t>
            </w:r>
            <w:r>
              <w:rPr>
                <w:rFonts w:hint="eastAsia"/>
              </w:rPr>
              <w:t>(网关)、</w:t>
            </w:r>
            <w:r>
              <w:rPr>
                <w:b/>
                <w:bCs/>
              </w:rPr>
              <w:t>OpenFeign</w:t>
            </w:r>
            <w:r>
              <w:t xml:space="preserve"> </w:t>
            </w:r>
            <w:r>
              <w:rPr>
                <w:rFonts w:hint="eastAsia"/>
              </w:rPr>
              <w:t>(通信)，拒绝盲目堆砌组件。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4"/>
            </w:pPr>
            <w:r>
              <w:rPr>
                <w:rFonts w:hint="eastAsia"/>
                <w:b/>
                <w:bCs/>
              </w:rPr>
              <w:t>持久层框架</w:t>
            </w:r>
          </w:p>
        </w:tc>
        <w:tc>
          <w:tcPr>
            <w:tcW w:w="2441" w:type="dxa"/>
          </w:tcPr>
          <w:p>
            <w:pPr>
              <w:pStyle w:val="14"/>
            </w:pPr>
            <w:r>
              <w:t>MyBatis-Plus, MySQL 8.0</w:t>
            </w:r>
          </w:p>
        </w:tc>
        <w:tc>
          <w:tcPr>
            <w:tcW w:w="5116" w:type="dxa"/>
          </w:tcPr>
          <w:p>
            <w:pPr>
              <w:pStyle w:val="14"/>
            </w:pPr>
            <w:r>
              <w:rPr>
                <w:rFonts w:hint="eastAsia"/>
              </w:rPr>
              <w:t>国内企业事实标准，结合AI代码生成器快速构建传统业务数据层。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4"/>
            </w:pPr>
            <w:r>
              <w:rPr>
                <w:rFonts w:hint="eastAsia"/>
                <w:b/>
                <w:bCs/>
              </w:rPr>
              <w:t>缓存与消息</w:t>
            </w:r>
          </w:p>
        </w:tc>
        <w:tc>
          <w:tcPr>
            <w:tcW w:w="2441" w:type="dxa"/>
          </w:tcPr>
          <w:p>
            <w:pPr>
              <w:pStyle w:val="14"/>
            </w:pPr>
            <w:r>
              <w:t>Redis, RabbitMQ</w:t>
            </w:r>
          </w:p>
        </w:tc>
        <w:tc>
          <w:tcPr>
            <w:tcW w:w="5116" w:type="dxa"/>
          </w:tcPr>
          <w:p>
            <w:pPr>
              <w:pStyle w:val="14"/>
            </w:pPr>
            <w:r>
              <w:rPr>
                <w:rFonts w:hint="eastAsia"/>
              </w:rPr>
              <w:t>Redis用于高频数据缓存与分布式锁；RabbitMQ用于AI服务与业务服务的</w:t>
            </w:r>
            <w:r>
              <w:rPr>
                <w:rFonts w:hint="eastAsia"/>
                <w:b/>
                <w:bCs/>
              </w:rPr>
              <w:t>异步解耦</w:t>
            </w:r>
            <w:r>
              <w:t>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4"/>
            </w:pPr>
            <w:r>
              <w:rPr>
                <w:rFonts w:hint="eastAsia"/>
                <w:b/>
                <w:bCs/>
              </w:rPr>
              <w:t>AI与大模型</w:t>
            </w:r>
          </w:p>
        </w:tc>
        <w:tc>
          <w:tcPr>
            <w:tcW w:w="2441" w:type="dxa"/>
          </w:tcPr>
          <w:p>
            <w:pPr>
              <w:pStyle w:val="14"/>
            </w:pPr>
            <w:r>
              <w:t>Spring AI / LangChain4j</w:t>
            </w:r>
          </w:p>
        </w:tc>
        <w:tc>
          <w:tcPr>
            <w:tcW w:w="5116" w:type="dxa"/>
          </w:tcPr>
          <w:p>
            <w:pPr>
              <w:pStyle w:val="14"/>
            </w:pPr>
            <w:r>
              <w:rPr>
                <w:rFonts w:hint="eastAsia"/>
              </w:rPr>
              <w:t>2026年Java接入大模型的标准框架，支持流式输出(SSE)与Function</w:t>
            </w:r>
            <w:r>
              <w:t xml:space="preserve"> Calling。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4"/>
            </w:pPr>
            <w:r>
              <w:rPr>
                <w:rFonts w:hint="eastAsia"/>
                <w:b/>
                <w:bCs/>
              </w:rPr>
              <w:t>向量数据库</w:t>
            </w:r>
          </w:p>
        </w:tc>
        <w:tc>
          <w:tcPr>
            <w:tcW w:w="2441" w:type="dxa"/>
          </w:tcPr>
          <w:p>
            <w:pPr>
              <w:pStyle w:val="14"/>
            </w:pPr>
            <w:r>
              <w:t xml:space="preserve">Milvus </w:t>
            </w:r>
            <w:r>
              <w:rPr>
                <w:rFonts w:hint="eastAsia"/>
              </w:rPr>
              <w:t>或</w:t>
            </w:r>
            <w:r>
              <w:t xml:space="preserve"> Qdrant</w:t>
            </w:r>
          </w:p>
        </w:tc>
        <w:tc>
          <w:tcPr>
            <w:tcW w:w="5116" w:type="dxa"/>
          </w:tcPr>
          <w:p>
            <w:pPr>
              <w:pStyle w:val="14"/>
            </w:pPr>
            <w:r>
              <w:rPr>
                <w:rFonts w:hint="eastAsia"/>
              </w:rPr>
              <w:t>用于存储企业知识库的文本向量（Embedding），支撑RAG检索。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4"/>
            </w:pPr>
            <w:r>
              <w:rPr>
                <w:rFonts w:hint="eastAsia"/>
                <w:b/>
                <w:bCs/>
              </w:rPr>
              <w:t>前端与工程化</w:t>
            </w:r>
          </w:p>
        </w:tc>
        <w:tc>
          <w:tcPr>
            <w:tcW w:w="2441" w:type="dxa"/>
          </w:tcPr>
          <w:p>
            <w:pPr>
              <w:pStyle w:val="14"/>
            </w:pPr>
            <w:r>
              <w:t>Vue 3, Docker, GitLab CI/CD</w:t>
            </w:r>
          </w:p>
        </w:tc>
        <w:tc>
          <w:tcPr>
            <w:tcW w:w="5116" w:type="dxa"/>
          </w:tcPr>
          <w:p>
            <w:pPr>
              <w:pStyle w:val="14"/>
            </w:pPr>
            <w:r>
              <w:rPr>
                <w:rFonts w:hint="eastAsia"/>
              </w:rPr>
              <w:t>前后端分离，容器化部署，体验现代化持续集成流水线。</w:t>
            </w:r>
            <w:bookmarkStart w:id="0" w:name="_GoBack"/>
            <w:bookmarkEnd w:id="0"/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51D2B"/>
    <w:rsid w:val="02F922EE"/>
    <w:rsid w:val="05534A4C"/>
    <w:rsid w:val="0586071E"/>
    <w:rsid w:val="07F1509C"/>
    <w:rsid w:val="081F03E2"/>
    <w:rsid w:val="082055AE"/>
    <w:rsid w:val="09BE759D"/>
    <w:rsid w:val="0C8E2094"/>
    <w:rsid w:val="0D313C33"/>
    <w:rsid w:val="0D975D04"/>
    <w:rsid w:val="115F642C"/>
    <w:rsid w:val="1277225B"/>
    <w:rsid w:val="13A85E50"/>
    <w:rsid w:val="179F128D"/>
    <w:rsid w:val="1AF81AB0"/>
    <w:rsid w:val="1B14057B"/>
    <w:rsid w:val="1E6B3D32"/>
    <w:rsid w:val="1FEF16F3"/>
    <w:rsid w:val="25824598"/>
    <w:rsid w:val="260128E8"/>
    <w:rsid w:val="2621532C"/>
    <w:rsid w:val="27031211"/>
    <w:rsid w:val="2B017F37"/>
    <w:rsid w:val="2C482CB1"/>
    <w:rsid w:val="2D39592C"/>
    <w:rsid w:val="2DFB13FE"/>
    <w:rsid w:val="2F4D1B62"/>
    <w:rsid w:val="30C4665D"/>
    <w:rsid w:val="3112025F"/>
    <w:rsid w:val="32D1066D"/>
    <w:rsid w:val="33FF585B"/>
    <w:rsid w:val="37D72629"/>
    <w:rsid w:val="388B33D1"/>
    <w:rsid w:val="39456083"/>
    <w:rsid w:val="3CA13886"/>
    <w:rsid w:val="3E2C0E0F"/>
    <w:rsid w:val="3F7136A4"/>
    <w:rsid w:val="3FFD3288"/>
    <w:rsid w:val="45CD3A13"/>
    <w:rsid w:val="45EF3078"/>
    <w:rsid w:val="472D6E53"/>
    <w:rsid w:val="485C7545"/>
    <w:rsid w:val="48E74F2A"/>
    <w:rsid w:val="4A0403BD"/>
    <w:rsid w:val="4C5835CD"/>
    <w:rsid w:val="4CFA0BD8"/>
    <w:rsid w:val="4EDF1CF2"/>
    <w:rsid w:val="53171462"/>
    <w:rsid w:val="545455E7"/>
    <w:rsid w:val="57780BCE"/>
    <w:rsid w:val="587B1239"/>
    <w:rsid w:val="58F63101"/>
    <w:rsid w:val="5A802DAE"/>
    <w:rsid w:val="5BF736EF"/>
    <w:rsid w:val="5F192012"/>
    <w:rsid w:val="65694370"/>
    <w:rsid w:val="65B5316B"/>
    <w:rsid w:val="66A739F8"/>
    <w:rsid w:val="67762DCB"/>
    <w:rsid w:val="67CE125C"/>
    <w:rsid w:val="68415D17"/>
    <w:rsid w:val="68AA1EC4"/>
    <w:rsid w:val="6A154999"/>
    <w:rsid w:val="6CF91E8D"/>
    <w:rsid w:val="6E63628A"/>
    <w:rsid w:val="759E4985"/>
    <w:rsid w:val="779C230C"/>
    <w:rsid w:val="78673540"/>
    <w:rsid w:val="78DA18D4"/>
    <w:rsid w:val="7E094A54"/>
    <w:rsid w:val="7F72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2"/>
    <w:qFormat/>
    <w:uiPriority w:val="0"/>
    <w:pPr>
      <w:autoSpaceDE w:val="0"/>
      <w:autoSpaceDN w:val="0"/>
      <w:snapToGrid w:val="0"/>
    </w:pPr>
    <w:rPr>
      <w:spacing w:val="20"/>
      <w:sz w:val="24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2 Char"/>
    <w:link w:val="2"/>
    <w:qFormat/>
    <w:uiPriority w:val="0"/>
    <w:rPr>
      <w:rFonts w:ascii="Arial" w:hAnsi="Arial" w:eastAsia="黑体"/>
      <w:b/>
      <w:sz w:val="32"/>
    </w:rPr>
  </w:style>
  <w:style w:type="paragraph" w:customStyle="1" w:styleId="10">
    <w:name w:val="First Paragraph"/>
    <w:basedOn w:val="4"/>
    <w:next w:val="4"/>
    <w:qFormat/>
    <w:uiPriority w:val="0"/>
  </w:style>
  <w:style w:type="character" w:customStyle="1" w:styleId="11">
    <w:name w:val="Verbatim Char"/>
    <w:basedOn w:val="12"/>
    <w:link w:val="13"/>
    <w:qFormat/>
    <w:uiPriority w:val="0"/>
  </w:style>
  <w:style w:type="character" w:customStyle="1" w:styleId="12">
    <w:name w:val="Body Text Char"/>
    <w:basedOn w:val="8"/>
    <w:link w:val="4"/>
    <w:qFormat/>
    <w:uiPriority w:val="0"/>
    <w:rPr>
      <w:spacing w:val="20"/>
      <w:sz w:val="24"/>
    </w:rPr>
  </w:style>
  <w:style w:type="paragraph" w:customStyle="1" w:styleId="13">
    <w:name w:val="Source Code"/>
    <w:basedOn w:val="1"/>
    <w:link w:val="11"/>
    <w:qFormat/>
    <w:uiPriority w:val="0"/>
    <w:pPr>
      <w:wordWrap w:val="0"/>
    </w:pPr>
  </w:style>
  <w:style w:type="paragraph" w:customStyle="1" w:styleId="14">
    <w:name w:val="Compact"/>
    <w:basedOn w:val="4"/>
    <w:qFormat/>
    <w:uiPriority w:val="0"/>
    <w:pPr>
      <w:spacing w:before="36" w:after="36"/>
    </w:pPr>
  </w:style>
  <w:style w:type="table" w:customStyle="1" w:styleId="1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Office_11.8.2.11542_F1E327BC-269C-435d-A152-05C5408002CA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2026-07-06T05:30:00Z</dcterms:created>
  <dc:creator>lujun</dc:creator>
  <cp:lastModifiedBy>lujun</cp:lastModifiedBy>
  <dcterms:modified xsi:type="dcterms:W3CDTF">2026-07-06T07:36:43Z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2052-11.8.2.11542</vt:lpwstr>
  </property>
  <property fmtid="{D5CDD505-2E9C-101B-9397-08002B2CF9AE}" pid="3" name="ICV">
    <vt:lpwstr>CD131BCE0AAD45AA8C623B2DE37E88B1</vt:lpwstr>
  </property>
</Properties>
</file>