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Black Box =&gt; Chip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rtl w:val="0"/>
        </w:rPr>
        <w:t xml:space="preserve">Transistor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8"/>
          <w:szCs w:val="28"/>
          <w:rtl w:val="0"/>
        </w:rPr>
        <w:t xml:space="preserve">(allows electrical circuits to flow or not to flow)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ab/>
        <w:tab/>
        <w:tab/>
        <w:t xml:space="preserve">       Only capable of doing one thing.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The technological improvement of them,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8"/>
          <w:szCs w:val="28"/>
          <w:rtl w:val="0"/>
        </w:rPr>
        <w:t xml:space="preserve">(smaller)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has many benefits.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8"/>
          <w:szCs w:val="28"/>
          <w:rtl w:val="0"/>
        </w:rPr>
        <w:t xml:space="preserve">Closer together, more information spread within a small timeframe.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8"/>
          <w:szCs w:val="28"/>
          <w:rtl w:val="0"/>
        </w:rPr>
        <w:t xml:space="preserve">Cheaper.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8"/>
          <w:szCs w:val="28"/>
          <w:rtl w:val="0"/>
        </w:rPr>
        <w:t xml:space="preserve">Less use of electricity.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8"/>
          <w:szCs w:val="28"/>
          <w:rtl w:val="0"/>
        </w:rPr>
        <w:t xml:space="preserve">The more you have, the more it can 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bf9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Moore’s Law -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Every two years, the number of transistors per square inch will double.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