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RAG Eval — Candidate Chunk Review</w:t>
      </w:r>
    </w:p>
    <w:p>
      <w:pPr>
        <w:pStyle w:val="Heading2"/>
      </w:pPr>
      <w:r>
        <w:t>1. What is the Federal Reserve's current interest rate?</w:t>
      </w:r>
    </w:p>
    <w:p>
      <w:r>
        <w:t>Difficulty: irrelevant  |  Expected papers: none</w:t>
      </w:r>
    </w:p>
    <w:p>
      <w:r>
        <w:t>(no candidates — irrelevant question or no expected paper)</w:t>
      </w:r>
    </w:p>
    <w:p>
      <w:r>
        <w:t>CONFIRMED RELEVANT CHUNK IDS: ____________________</w:t>
      </w:r>
    </w:p>
    <w:p/>
    <w:p>
      <w:pPr>
        <w:pStyle w:val="Heading2"/>
      </w:pPr>
      <w:r>
        <w:t>2. How does the European Central Bank set monetary policy?</w:t>
      </w:r>
    </w:p>
    <w:p>
      <w:r>
        <w:t>Difficulty: irrelevant  |  Expected papers: none</w:t>
      </w:r>
    </w:p>
    <w:p>
      <w:r>
        <w:t>(no candidates — irrelevant question or no expected paper)</w:t>
      </w:r>
    </w:p>
    <w:p>
      <w:r>
        <w:t>CONFIRMED RELEVANT CHUNK IDS: ____________________</w:t>
      </w:r>
    </w:p>
    <w:p/>
    <w:p>
      <w:pPr>
        <w:pStyle w:val="Heading2"/>
      </w:pPr>
      <w:r>
        <w:t>3. What is the history of the Chilean peso currency design?</w:t>
      </w:r>
    </w:p>
    <w:p>
      <w:r>
        <w:t>Difficulty: irrelevant  |  Expected papers: none</w:t>
      </w:r>
    </w:p>
    <w:p>
      <w:r>
        <w:t>(no candidates — irrelevant question or no expected paper)</w:t>
      </w:r>
    </w:p>
    <w:p>
      <w:r>
        <w:t>CONFIRMED RELEVANT CHUNK IDS: ____________________</w:t>
      </w:r>
    </w:p>
    <w:p/>
    <w:p>
      <w:pPr>
        <w:pStyle w:val="Heading2"/>
      </w:pPr>
      <w:r>
        <w:t>4. What was the policy interest rate in March 2016?</w:t>
      </w:r>
    </w:p>
    <w:p>
      <w:r>
        <w:t>Difficulty: easy  |  Expected papers: 2016_marzo</w:t>
      </w:r>
    </w:p>
    <w:p>
      <w:r>
        <w:rPr>
          <w:b/>
        </w:rPr>
        <w:t>[2016_marzo, chunk 0, score 0.591]</w:t>
      </w:r>
    </w:p>
    <w:p>
      <w:r>
        <w:t>Jueves 17 de marzo de 2016. Reunión de Política Monetaria – Marzo 2016 En su reunión mensual de política monetaria, el Consejo del Banco Central de Chile acordó mantener la tasa de interés de política monetaria en 3,5%. En lo externo, los mercados financieros han mostrado mayor calma en las últimas semanas, aunque siguen presentes los riesgos de nuevos episodios de inestabilidad. Así, los premios por riesgo se han reducido, al mismo tiempo que los índices bursátiles y los precios de las materias primas han subido. Por otra parte , las proyecciones de crecimiento global y de inflación en las economías avanzadas se han vuelto a recortar . En este contexto, l os bancos centrales del mundo desarroll ado han tomado acciones o realizado anuncios que indican mayores grados de expansividad de sus políticas monetarias. Tras la reunión de la Reserva Federal, el dólar tuvo una depreciación adicional y las tasas de interés descendieron. En lo interno, la inflación anual</w:t>
      </w:r>
    </w:p>
    <w:p>
      <w:r>
        <w:rPr>
          <w:b/>
        </w:rPr>
        <w:t>[2016_marzo, chunk 1, score 0.539]</w:t>
      </w:r>
    </w:p>
    <w:p>
      <w:r>
        <w:t>tasas de interés descendieron. En lo interno, la inflación anual del IPC e IPCSAE sigue por sobre 4%, en línea con lo previsto. Las expectativas de inflación a dos años plazo permanecen en 3%. La evolución de estas variables se seguirá monitoreando con especial atención. Los datos de actividad y demanda dan cuenta de un desempeño de la última parte del 2015 más débil que lo previsto en el IPoM de diciembre. Los índices de confianza continúan en niveles pesimistas. La tasa de crecimiento anual del empleo asalariado volvió a descender, pero la tasa de desempleo sigue en niveles bajos. El ritmo de crecimiento anual de los salarios aumentó en enero. La trayectoria futura de la TPM contempla ajustes pausados para asegurar la convergencia de la inflación a la meta, a un ritmo que dependerá de la nueva información que se acumule y de sus implicancias sobre la inflación. El Consejo reafirma su compromiso de conducir la política monetaria con</w:t>
      </w:r>
    </w:p>
    <w:p>
      <w:r>
        <w:rPr>
          <w:b/>
        </w:rPr>
        <w:t>[2016_marzo, chunk 2, score 0.418]</w:t>
      </w:r>
    </w:p>
    <w:p>
      <w:r>
        <w:t>Consejo reafirma su compromiso de conducir la política monetaria con flexibilidad, de manera que la inflación proyectada se ubique en 3% en el horizonte de política.</w:t>
      </w:r>
    </w:p>
    <w:p>
      <w:r>
        <w:t>CONFIRMED RELEVANT CHUNK IDS: ____________________</w:t>
      </w:r>
    </w:p>
    <w:p/>
    <w:p>
      <w:pPr>
        <w:pStyle w:val="Heading2"/>
      </w:pPr>
      <w:r>
        <w:t>5. Did the Council cut or raise the rate in April 2017?</w:t>
      </w:r>
    </w:p>
    <w:p>
      <w:r>
        <w:t>Difficulty: easy  |  Expected papers: 2017_abril</w:t>
      </w:r>
    </w:p>
    <w:p>
      <w:r>
        <w:rPr>
          <w:b/>
        </w:rPr>
        <w:t>[2017_abril, chunk 1, score 0.536]</w:t>
      </w:r>
    </w:p>
    <w:p>
      <w:r>
        <w:t>del mercado laboral algo mayor que lo previsto. Para asegurar la convergencia de la inflación a la meta, el Consejo evaluará la necesidad de algún incremento adiciona l del impulso monetario. Su concreción dependerá de las perspectivas de inflación de mediano plazo. Como siempre, reafirma su compromiso de conducir la política monetaria con flexibilidad, de manera que la inflación proyectada se ubique en 3% en el horizonte de política.</w:t>
      </w:r>
    </w:p>
    <w:p>
      <w:r>
        <w:rPr>
          <w:b/>
        </w:rPr>
        <w:t>[2017_abril, chunk 0, score 0.507]</w:t>
      </w:r>
    </w:p>
    <w:p>
      <w:r>
        <w:t>Jueves 13 de abril de 2017. Reunión de Política Monetaria – Abril 2017 En su reunión mensual de política monetaria, el Consejo del Banco Central de Chile acordó reducir la tasa de interés de política monetaria en 25 puntos base, hasta 2,75%. En el plano externo, las condiciones financieras globales continúan favorables y diversos indicadores apuntan a un escenario de mayor crecimiento e inflación en el mundo desarrollado. Los precios de las materias primas tuvieron movimientos mixtos, destacando el incremento del precio del petróleo. Con todo, persisten riesgos relevantes. En el plano interno, las cifras de inflación y actividad estuvieron en línea con lo previsto en el IPoM de marzo. La inflación anual se mantuvo en 2,7% y las expectativas de inflación a fines del horizonte de proyección se ubican en torno a la meta. Las ci fras de actividad y demanda continúan mostrando un débil desempeño. Destaca un deterioro del mercado laboral algo mayor que lo previsto. Para asegurar</w:t>
      </w:r>
    </w:p>
    <w:p>
      <w:r>
        <w:t>CONFIRMED RELEVANT CHUNK IDS: ____________________</w:t>
      </w:r>
    </w:p>
    <w:p/>
    <w:p>
      <w:pPr>
        <w:pStyle w:val="Heading2"/>
      </w:pPr>
      <w:r>
        <w:t>6. What was the inflation rate reported in the December 2018 meeting?</w:t>
      </w:r>
    </w:p>
    <w:p>
      <w:r>
        <w:t>Difficulty: easy  |  Expected papers: 2018_diciembre</w:t>
      </w:r>
    </w:p>
    <w:p>
      <w:r>
        <w:rPr>
          <w:b/>
        </w:rPr>
        <w:t>[2018_diciembre, chunk 3, score 0.608]</w:t>
      </w:r>
    </w:p>
    <w:p>
      <w:r>
        <w:t>en 2,1%. Los precios más sensibles a la brecha de actividad, como los de servicios no regulados del IPCSAE, siguen mostrando una paulatina aceleración. A plaz os más cortos, las expectativas privadas para la inflación han descendido en línea con el menor precio internacional del petróleo y los combustibles, en tanto que a dos años plazo se mantienen en torno a 3%. La decisión del Consejo consideró que el anális is contenido en el IPoM de diciembre, y los datos al cierre estadístico, confirman que la evolución de las condiciones macroeconómicas hace necesaria la reducción del estímulo monetario, proceso que se seguirá implementando con gradualidad y cautela. Clave para este juicio es la evaluación del tamaño de las holguras de capacidad en comparación con la magnitud del estímulo monetario: mientras las primeras han disminuido y la inflación ha aumentado, la política monetaria continúa siendo altamente expansiva. C on esto, el Consejo reafirma su compromiso de conducir la política monetaria con</w:t>
      </w:r>
    </w:p>
    <w:p>
      <w:r>
        <w:rPr>
          <w:b/>
        </w:rPr>
        <w:t>[2018_diciembre, chunk 0, score 0.54]</w:t>
      </w:r>
    </w:p>
    <w:p>
      <w:r>
        <w:t>Martes 4 de diciembre de 2018. Reunión de Política Monetaria En su Reunión de Política Monetaria, el Consejo del Banco Central de Chile acordó mantener la tasa de interés de política monetaria en 2,75%. La decisión fue adoptada por la unanimidad de sus miembros. En lo externo, los datos siguen confirmando que el c recimiento mundial está transitando hacia una etapa de menor expansión que en años previos. Desde la Reunión anterior, destacan cifras de actividad menos auspiciosas en la Eurozona y en China, un ajuste a la baja en los precios de los activos riesgosos en los mercados desarrollados y una percepción del mercado de que el proceso de normalización monetaria en Estados Unidos será más acotado el próximo año. Resalta también la importante caída del precio del petróleo, que resta presiones inflacionarias de corto plazo, en un contexto donde el resto de los precios de las materias primas no han tenido mayores cambios. El Brexit se aproxima a</w:t>
      </w:r>
    </w:p>
    <w:p>
      <w:r>
        <w:rPr>
          <w:b/>
        </w:rPr>
        <w:t>[2018_diciembre, chunk 2, score 0.499]</w:t>
      </w:r>
    </w:p>
    <w:p>
      <w:r>
        <w:t>plenamente en octubre, según revelan los indicadores sectoriales. Por el lado del gasto, los indicadores continúan apuntando a un impulso relevante de la inversión y uno algo más lento del consumo, aunque los datos sectoriales de comercio de octubre s ugieren un mayor dinamismo de este último. La revisión de los índices de remuneraciones por parte del INE y la consideración del efecto de la inmigración sobre el comportamiento del empleo confirman la visión de un mercado del trabajo que evoluciona acorde con el ritmo de crecimiento observado desde mediados del 2017. Para el período 2018 -2020, las perspectivas del mercado (EEE) apuntan a una expansión anual del PIB de 4% este año y de 3,5% para el 2019 y 2020. La inflación de octubre (0,4%) estuvo en líne a con lo proyectado, con lo que la inflación anual del IPC bajó a 2,9% y la del IPCSAE se mantuvo en 2,1%. Los precios más sensibles a la brecha de</w:t>
      </w:r>
    </w:p>
    <w:p>
      <w:r>
        <w:rPr>
          <w:b/>
        </w:rPr>
        <w:t>[2018_diciembre, chunk 4, score 0.445]</w:t>
      </w:r>
    </w:p>
    <w:p>
      <w:r>
        <w:t>Consejo reafirma su compromiso de conducir la política monetaria con flexibilidad, de manera que la inflación proyectada se ubique en 3% en el horizonte de dos años.</w:t>
      </w:r>
    </w:p>
    <w:p>
      <w:r>
        <w:rPr>
          <w:b/>
        </w:rPr>
        <w:t>[2018_diciembre, chunk 1, score 0.427]</w:t>
      </w:r>
    </w:p>
    <w:p>
      <w:r>
        <w:t>no han tenido mayores cambios. El Brexit se aproxima a sus instancias de definición, mientras que en el conflicto comercial entre Estados Unidos y China se ha abierto un espacio formal para negociaciones. El peso y la bolsa chilena continuaron presentando fluctuaciones relevantes en las últimas semanas, mientras que las tasas de interés a plazos más largos disminuyeron en línea con lo ocurrido en los mercados desarrollados. Los in dicadores de riesgos tuvieron cambios menores. El mercado del crédito se mantiene caracterizado por tasas de interés bajas y por el mayor crecimiento de las colocaciones comerciales y de consumo. Las cuentas nacionales del tercer trimestre del 2018 diero n cuenta de una desaceleración de la actividad más allá de lo esperado, causada mayormente por factores puntuales en la minería e industria manufacturera. En este último caso, incidió el efecto calendario en la actividad de septiembre, cuyo impacto se revi rtió plenamente en octubre, según revelan los indicadores sectoriales. Por el</w:t>
      </w:r>
    </w:p>
    <w:p>
      <w:r>
        <w:t>CONFIRMED RELEVANT CHUNK IDS: ____________________</w:t>
      </w:r>
    </w:p>
    <w:p/>
    <w:p>
      <w:pPr>
        <w:pStyle w:val="Heading2"/>
      </w:pPr>
      <w:r>
        <w:t>7. What rate did the Council set in May 2020?</w:t>
      </w:r>
    </w:p>
    <w:p>
      <w:r>
        <w:t>Difficulty: easy  |  Expected papers: 2020_mayo</w:t>
      </w:r>
    </w:p>
    <w:p>
      <w:r>
        <w:rPr>
          <w:b/>
        </w:rPr>
        <w:t>[2020_mayo, chunk 0, score 0.487]</w:t>
      </w:r>
    </w:p>
    <w:p>
      <w:r>
        <w:t>Miércoles 6 de mayo de 2020 Reunión de Política Monetaria – mayo 2020 En su Reunión de Política Monetaria, el Consejo del Banco Central de Chile acordó mantener la tasa de interés de política monetaria en 0,50%. La decisión fue adoptada por la unanimidad de sus miembros. La evolución de la pandemia del Covid-19 y el efecto de las medidas sanitarias adoptadas para su contención sigue condicionando el escenario macroeconómico a nivel global. Actualmente, el conjunto de proyecciones de organ ismos públicos y privados anticipa una recesión mundial para este año, con caídas de la actividad que superan lo considerado en el escenario base del IPoM de marzo. Las primeras cifras del PIB del primer trimestre en las principales economías confirman con tracciones generalizadas, en varios casos más profundas de lo esperado, al mismo tiempo que en diversos países ya se aprecia un significativo aumento del desempleo. Además, es previsible que las prácticas de contención sanitaria se mantendrán durante buena</w:t>
      </w:r>
    </w:p>
    <w:p>
      <w:r>
        <w:rPr>
          <w:b/>
        </w:rPr>
        <w:t>[2020_mayo, chunk 6, score 0.448]</w:t>
      </w:r>
    </w:p>
    <w:p>
      <w:r>
        <w:t>por un extenso período de tiempo para asegurar la convergencia de la inflación a la meta de 3% en un horizonte de dos años. El Consejo evaluará opciones para intensificar el impulso monetario y apo yar la estabilidad financiera a través de instrumentos no convencionales en caso de que la evolución de la economía así lo requiera.</w:t>
      </w:r>
    </w:p>
    <w:p>
      <w:r>
        <w:rPr>
          <w:b/>
        </w:rPr>
        <w:t>[2020_mayo, chunk 1, score 0.384]</w:t>
      </w:r>
    </w:p>
    <w:p>
      <w:r>
        <w:t>que las prácticas de contención sanitaria se mantendrán durante buena parte del segundo trimestre. En este contexto, los bancos centrales y los gobiernos han continuado reforzando sus políticas de estímulo, apuntando a limitar el impacto negativo en la situación de empresas, hogares e instituciones financieras y apoyar la r ecuperación en el segundo semestre del año. Estas medidas también han contribuido a contener el deterioro de las condiciones financieras, pero persiste un alto grado de incertidumbre, tanto en lo sanitario como lo económico. En lo que se refiere al escena rio macroeconómico interno, la caída del Imacec de marzo estuvo en línea con el panorama descrito en el último IPoM, ratificando el inicio del proceso de contracción económica provocado por la emergencia sanitaria. Así, se observó un impacto negativo en bu ena parte de los sectores económicos, especialmente en la actividad del comercio, educación, transporte, restaurantes y hoteles. La encuesta de empleo del INE, los datos de registros administrativos e</w:t>
      </w:r>
    </w:p>
    <w:p>
      <w:r>
        <w:rPr>
          <w:b/>
        </w:rPr>
        <w:t>[2020_mayo, chunk 2, score 0.369]</w:t>
      </w:r>
    </w:p>
    <w:p>
      <w:r>
        <w:t>de empleo del INE, los datos de registros administrativos e información cualitativa del Informe de Percepciones de Negocios apuntan a un importante deterioro del mercado laboral, parcialmente amortiguado por las medidas especiales adoptadas por el Gobierno. Las expectativas de consumidores (IPEC) descendieron hasta mínimos históricos y el consumo de bienes no esenciale s ha tenido drásticas bajas. Las expectativas empresariales (IMCE) también se han deteriorado. El catastro de proyectos de inversión de la CBC dio cuenta de una recalendarización de proyectos hacia los próximos años y se mantiene un fuerte retroceso de las importaciones de bienes de capital, todo lo cual ratifica una caída significativa de la inversión. En este contexto, con diferencias en las magnitudes, las expectativas privadas apuntan a que la economía chilena se contraerá este año para recuperarse significativamente el próximo. Los mercados financieros mundiales se han recuperado respecto de los fuertes impactos que experimentaron durante marzo. Así, se observan menores premios por riesgo, aumentos en las</w:t>
      </w:r>
    </w:p>
    <w:p>
      <w:r>
        <w:rPr>
          <w:b/>
        </w:rPr>
        <w:t>[2020_mayo, chunk 4, score 0.354]</w:t>
      </w:r>
    </w:p>
    <w:p>
      <w:r>
        <w:t>se observa un aumento de las necesidades de financiamiento de capital de trabajo. La ECB también indica una mayor restricción de las condiciones de otorgamiento de crédito por parte de la ban ca. En el crédito a personas, la variación anual del stock de colocaciones de consumo se mantuvo en terreno negativo en marzo, mientras que la hipotecaria mantuvo su crecimiento en torno a 8%. En cuanto a las tasas de interés, en lo reciente se ha observad o una caída en las de consumo y las comerciales, y aumentos adicionales en las de vivienda. En cuanto a las medidas adoptadas por el Banco Central, los bancos comerciales han solicitado alrededor de US$12 mil millones —cerca del 50% de los fondos disponibl es— en la Facilidad de Crédito Condicional al Incremento de las Colocaciones (FCIC), apoyada por la ampliación de los colaterales. A su vez, el programa de compra de bonos bancarios ha acumulado US$3.300 millones de los hasta US$8.000</w:t>
      </w:r>
    </w:p>
    <w:p>
      <w:r>
        <w:rPr>
          <w:b/>
        </w:rPr>
        <w:t>[2020_mayo, chunk 3, score 0.276]</w:t>
      </w:r>
    </w:p>
    <w:p>
      <w:r>
        <w:t>Así, se observan menores premios por riesgo, aumentos en las bolsas, cierta apreciación de las monedas frent e al dólar y bajas de las tasas de interés de largo plazo en un grupo relevante de economías. Los precios de las materias primas también han mostrado una recuperación, en particular los metales. En Chile, los mercados financieros han seguido estas tendencias: la bolsa aumentó, las tasas largas disminuyeron, la liquidez de los mercados monetarios aumentó —especialmente en pesos—, los spreads bancarios cayeron y el peso se apreció respecto del dólar. Respecto del crédito a empresas, destaca un importante aum ento del stock de colocaciones comerciales en marzo, comportamiento que se habría mantenido durante abril, según datos parciales. La Encuesta de Crédito Bancario (ECB) del primer trimestre muestra un incremento en la demanda de crédito para las grandes emp resas y una baja de las PYMEs. Sin embargo, en este último grupo se observa un aumento de las necesidades de financiamiento de</w:t>
      </w:r>
    </w:p>
    <w:p>
      <w:r>
        <w:rPr>
          <w:b/>
        </w:rPr>
        <w:t>[2020_mayo, chunk 5, score 0.166]</w:t>
      </w:r>
    </w:p>
    <w:p>
      <w:r>
        <w:t>bonos bancarios ha acumulado US$3.300 millones de los hasta US$8.000 millones disponibles, mientras la recompra de deuda del Banco Central ha llegado a algo más de US$5.600 millones. A marzo, la inflación anual bajó a 3,7% y la medida subyacente se mantuvo en torno a 2,5%. Las presiones inflacionarias de mediano plazo continúan contenidas en concordancia con una mayor apertura de las brechas de actividad como consecuencia de la emergencia sanitaria, que, sumada a la caída del precio del petróleo desde comienzos de año, contrarrestan las presiones de costos de la depreciación cambiaria acumulada . A un año plazo, las medidas de expectativas de inflación se ajustaron a la baja, mientras que a dos años continúan en torno a 3,0%. La decisión del Consejo de mantener la TPM en su mínimo técnico de 0,5%, es concordante con la necesidad que la política monetaria se mantenga en esta posición altamente expansiva por un extenso período de tiempo para asegurar la convergencia</w:t>
      </w:r>
    </w:p>
    <w:p>
      <w:r>
        <w:t>CONFIRMED RELEVANT CHUNK IDS: ____________________</w:t>
      </w:r>
    </w:p>
    <w:p/>
    <w:p>
      <w:pPr>
        <w:pStyle w:val="Heading2"/>
      </w:pPr>
      <w:r>
        <w:t>8. What was the Council's reasoning for raising rates in January 2022?</w:t>
      </w:r>
    </w:p>
    <w:p>
      <w:r>
        <w:t>Difficulty: medium  |  Expected papers: 2022_enero</w:t>
      </w:r>
    </w:p>
    <w:p>
      <w:r>
        <w:rPr>
          <w:b/>
        </w:rPr>
        <w:t>[2022_enero, chunk 0, score 0.582]</w:t>
      </w:r>
    </w:p>
    <w:p>
      <w:r>
        <w:t>Miércoles 26 de enero de 2022. Reunión de Política Monetaria – enero 2022 En su Reunión de Política Monetaria, el Consejo del Banco Central de Chile acordó incrementar la tasa de interés de política monetaria en 150 puntos base, hasta 5,5%. La decisión fue adoptada por la unanimidad de los Consejeros presentes. En el plano externo, la economía mundial ha perdido algo de dinamismo, pero las perspectivas para el año no muestran mayores cambios. El alza de contagios de Covid-19 ha sido significativa en muchos países y si bien se observa un descenso en la movilidad, sus efectos en la actividad han sido acotados. En todo caso, los riesgos en torno a China aumentan por la mayor intensidad de las restricciones y su potencial impacto en la persistencia de los cuellos de botella a nivel global. La inflación ha seguido aumentando en diversa s economías, con bancos centrales que han intensificado el giro hacia el retiro de los estímulos monetarios.</w:t>
      </w:r>
    </w:p>
    <w:p>
      <w:r>
        <w:rPr>
          <w:b/>
        </w:rPr>
        <w:t>[2022_enero, chunk 4, score 0.552]</w:t>
      </w:r>
    </w:p>
    <w:p>
      <w:r>
        <w:t>por los precios de los bienes —que sorprendieron al alza— como de los servicios. En el componente volátil, continuó destacando la contribución de los combustibles y la evolución de algunos ítems puntuales. Las expectativas privadas de inflación permanecen sobre 3% a dos años plazo. Los riesgos para la evolución de la inflación siguen siendo significativos y su eventual concreción se torna especialmente relevante en un contexto en que tanto la variación anual del IPC como sus perspectivas ya son elevadas. En particular, la evolución reciente de la actividad y de la inflación se ubica algo por encima de lo previsto en el IPoM de diciembre y las presiones inflacionarias derivadas del escenario internacional han aumentado. La decisión del Consejo es coherente con una trayectoria de política monetaria que, en el corto plazo, se ubicaría en torno al borde superior del corredor de tasa considerado en el IPoM pasado. Una nueva evaluación de este se realizará en el próximo IPoM.</w:t>
      </w:r>
    </w:p>
    <w:p>
      <w:r>
        <w:rPr>
          <w:b/>
        </w:rPr>
        <w:t>[2022_enero, chunk 2, score 0.495]</w:t>
      </w:r>
    </w:p>
    <w:p>
      <w:r>
        <w:t>5%, las tasas de interés de largo plazo, aunque con vaive nes, se ubican en niveles similares y el riesgo país (CDS) retrocedió cerca de 10 puntos base (pb). Por otro lado, las tasas de interés de corto plazo subieron, en respuesta a la mayor inflación efectiva y a expectativas de tasa de política monetaria más e levadas. De todas formas, los niveles de incertidumbre siguen siendo elevados en comparación histórica y las tasas de interés de largo plazo mantienen un diferencial relevante respecto de sus pares externos. En el agregado, los indicadores de actividad y d emanda son coherentes con la parte alta del rango de proyección para el 2021 considerado en el IPoM de diciembre. En noviembre, la actividad aumentó 14,3% anual —0,3% mensual para la serie desestacionalizada—, destacando la contribución de las actividades de servicios y, en menor medida, del comercio. En la demanda, resalta el sostenido dinamismo de las importaciones de todo tipo de bienes. Las</w:t>
      </w:r>
    </w:p>
    <w:p>
      <w:r>
        <w:rPr>
          <w:b/>
        </w:rPr>
        <w:t>[2022_enero, chunk 3, score 0.484]</w:t>
      </w:r>
    </w:p>
    <w:p>
      <w:r>
        <w:t>dinamismo de las importaciones de todo tipo de bienes. Las expectativas privadas (EEE) siguen previendo tasas de expansión del PIB en torno a 2% para el 2022 y 2023. El merc ado laboral continúa registrando una recuperación paulatina, con una oferta que se mantiene contenida de parte de los hogares y altos niveles de demanda por trabajo de las empresas. El crédito bancario, en general, conserva un dinamismo acotado, primando factores Comunicado de Prensa de demanda. Las tasas de interés muestran un alza para todo tipo de créditos, aunque más marcada en los de consumo. La variación anual del IPC llegó a 7,2% en diciembre, superando las expectativas de mercado y la proyección del último IPoM. El alza de los precios fue generalizada entre los distintos ítems de la canasta. Resaltó nuevamente el incremento de la inflación subyacente —IPC sin volátiles— , que se sitúa en 5,2% anual, impulsada tanto por los precios de los bienes —que sorprendieron al alza—</w:t>
      </w:r>
    </w:p>
    <w:p>
      <w:r>
        <w:rPr>
          <w:b/>
        </w:rPr>
        <w:t>[2022_enero, chunk 1, score 0.459]</w:t>
      </w:r>
    </w:p>
    <w:p>
      <w:r>
        <w:t>intensificado el giro hacia el retiro de los estímulos monetarios. Los riesgos geopolíticos han aumentado, especialmente en Europa. En este contexto, los mercados financieros dan cuenta de un alza transversal de las tasas de interés de largo plazo, la apreciación de un número importante de monedas respecto del dólar y caídas de los mercados bursátiles, particularmente desarrollados. A su vez, el precio del barril de petróleo ha subido de forma importante, ubicándose en torno a US$85 el barril (+19% desde la última Reunión, para el promedio WTI Brent), mientras que el precio del cobre se ubica en torno a US$4,5 la libra. La evolución del mercado financiero chileno ha estado marcada tanto por factores externos como int ernos, aunque con predominio de estos últimos, posiblemente asociado a una disminución de la incertidumbre interna. Desde la Reunión previa, el peso se apreció cerca de 5%, la bolsa subió en torno a 5%, las tasas de interés de largo plazo, aunque con</w:t>
      </w:r>
    </w:p>
    <w:p>
      <w:r>
        <w:rPr>
          <w:b/>
        </w:rPr>
        <w:t>[2022_enero, chunk 5, score 0.272]</w:t>
      </w:r>
    </w:p>
    <w:p>
      <w:r>
        <w:t>evaluación de este se realizará en el próximo IPoM.</w:t>
      </w:r>
    </w:p>
    <w:p>
      <w:r>
        <w:t>CONFIRMED RELEVANT CHUNK IDS: ____________________</w:t>
      </w:r>
    </w:p>
    <w:p/>
    <w:p>
      <w:pPr>
        <w:pStyle w:val="Heading2"/>
      </w:pPr>
      <w:r>
        <w:t>9. What non-conventional measures did the Bank announce in March 2020?</w:t>
      </w:r>
    </w:p>
    <w:p>
      <w:r>
        <w:t>Difficulty: medium  |  Expected papers: 2020_marzo</w:t>
      </w:r>
    </w:p>
    <w:p>
      <w:r>
        <w:t>(no candidates — irrelevant question or no expected paper)</w:t>
      </w:r>
    </w:p>
    <w:p>
      <w:r>
        <w:t>CONFIRMED RELEVANT CHUNK IDS: ____________________</w:t>
      </w:r>
    </w:p>
    <w:p/>
    <w:p>
      <w:pPr>
        <w:pStyle w:val="Heading2"/>
      </w:pPr>
      <w:r>
        <w:t>10. How did the Council describe labor market conditions in the June 2020 meeting?</w:t>
      </w:r>
    </w:p>
    <w:p>
      <w:r>
        <w:t>Difficulty: medium  |  Expected papers: 2020_junio</w:t>
      </w:r>
    </w:p>
    <w:p>
      <w:r>
        <w:rPr>
          <w:b/>
        </w:rPr>
        <w:t>[2020_junio, chunk 2, score 0.427]</w:t>
      </w:r>
    </w:p>
    <w:p>
      <w:r>
        <w:t>aún permanecen lejos de sus niveles previos a la emergencia sanitaria. En algunas economías las expectativas de hogares y empresas tuvieron un rebote en el margen, aunque la mayoría se mantienen en terreno contractivo. Las autoridades monetarias y fiscales han hecho nuevos anuncios orientados a apuntalar el proceso de recuperación de la actividad y preservar la estabilidad financiera, resaltando los efectuados por el Banco Central Europe o y la Reserva Federal. Los precios de las materias primas, en general, también subieron, aunque con marcados vaivenes en el caso del petróleo. El del cobre tocó sus mayores valores desde fines de enero. Aun así, se mantiene un alto grado de incertidumbre sobre la posibilidad de reactivación del contagio y una alta sensibilidad ante señales en tal sentido. La magnitud de los apoyos fiscales y monetarios ha continuado apuntalando el desempeño de los mercados financieros mundiales, que de todos modos siguen mostrando altos niveles de volatilidad, como lo demuestran los movimientos de</w:t>
      </w:r>
    </w:p>
    <w:p>
      <w:r>
        <w:rPr>
          <w:b/>
        </w:rPr>
        <w:t>[2020_junio, chunk 6, score 0.411]</w:t>
      </w:r>
    </w:p>
    <w:p>
      <w:r>
        <w:t>fech as específicas de la puesta en marcha, condiciones financieras y otros aspectos operacionales serán dados a conocer en los próximos días. El Consejo reitera que mantendrá un elevado impulso monetario por un período prolongado de tiempo, de modo de asegura r el cumplimiento de sus objetivos. En particular, estima que mantendrá la TPM en su mínimo técnico durante todo el horizonte de proyección. Además, en caso de que la evolución de la economía así lo requiera, seguirá evaluando opciones para intensificar d icho impulso y apoyar la estabilidad financiera, a través de instrumentos no convencionales. El Informe de Política Monetaria de junio, que contiene las proyecciones y análisis que sustentan estas decisiones del Consejo, se publicará mañana miércoles 17 d e junio a las 8:30 horas.</w:t>
      </w:r>
    </w:p>
    <w:p>
      <w:r>
        <w:rPr>
          <w:b/>
        </w:rPr>
        <w:t>[2020_junio, chunk 5, score 0.39]</w:t>
      </w:r>
    </w:p>
    <w:p>
      <w:r>
        <w:t>de Expectativas Económicas se mantuvieron en ese valor. El Consejo estima que la evolución de la economía requiere de una intensificación del impulso monetario. Por ello, junto con mantener la TPM en 0,5% —que corresponde a la actual estimación de su mínimo técnico —, decidió ampliar el uso de instrumentos no convencionales. Primero, acordó abrir una segunda etapa de la FCIC que contempla un monto de US$16 mil millones y una vigencia de ocho meses. Este programa considera el fortalecimiento de los incentivos para la entrega de crédito bancario a pequeñas y medianas empresas, y a oferentes de crédito no bancarios. Segundo, acordó implementar un programa especial de compra de activos, por un monto de hasta US$8 mil millones, en un plazo de seis meses. De esta manera, a través de ambos programas, se movilizarán recursos adicionales por hasta 10% del PIB. El monto inicial de compra de activos, las fech as específicas de la puesta en marcha, condiciones financieras</w:t>
      </w:r>
    </w:p>
    <w:p>
      <w:r>
        <w:rPr>
          <w:b/>
        </w:rPr>
        <w:t>[2020_junio, chunk 0, score 0.378]</w:t>
      </w:r>
    </w:p>
    <w:p>
      <w:r>
        <w:t>Martes 16 de junio de 2020 Reunión de Política Monetaria – junio 2020 En su Reunión de Política Monetaria, el Consejo del Banco Central de Chile acordó, por unanimidad de sus miembros, mantener la tasa de interés de política monetaria en 0,50%. Asimismo, acordó ampliar las medidas no convencionales de apoyo a la liquidez y el crédito. Los efectos de la pandemia de Covid -19 se han seguido prolongando e intensificando, en particular por la necesidad de decretar cuarentenas e n comunas del país que abarcan a casi la mitad de la población nacional. El Imacec de abril dio cuenta de una importante caída de la actividad, que se profundizará en mayo y junio dada la ampliación y duración de las medidas de contención decretadas en eso s meses. El mercado del trabajo también está experimentando un importante deterioro, acompañado de caídas en diversos indicadores de consumo y expectativas en niveles marcadamente pesimistas. Por el lado de la inversión, destaca</w:t>
      </w:r>
    </w:p>
    <w:p>
      <w:r>
        <w:rPr>
          <w:b/>
        </w:rPr>
        <w:t>[2020_junio, chunk 1, score 0.365]</w:t>
      </w:r>
    </w:p>
    <w:p>
      <w:r>
        <w:t>niveles marcadamente pesimistas. Por el lado de la inversión, destaca la sostenida baja de las importaciones de bienes de capital y expectativas empresariales que persisten notoriamente negativas. Con ello, las expectativas privadas de crecimiento durante este año se han corregido a la baja. En este contexto, el reciente Plan de Emergencia acordado po r el Gobierno y la Comisión de Hacienda ampliada será un importante aporte para mitigar los negativos efectos económicos de la pandemia, tanto por las medidas consideradas como por su perspectiva de mediano plazo. En el escenario externo destaca la flexib ilización de las medidas de confinamiento en varios países tras la caída en sus índices de contagio y muertes. Esta reapertura gradual ha llevado a una leve mejora de ciertos indicadores de corto plazo, destacando las sorpresas en los datos industriales de China, lo mismo que las ventas y el empleo en EE.UU. De todas formas, aún permanecen lejos de sus niveles previos a la emergencia</w:t>
      </w:r>
    </w:p>
    <w:p>
      <w:r>
        <w:rPr>
          <w:b/>
        </w:rPr>
        <w:t>[2020_junio, chunk 4, score 0.365]</w:t>
      </w:r>
    </w:p>
    <w:p>
      <w:r>
        <w:t>(FCIC), habiendo re tirado cerca del 83% de los recursos contemplados. Estos fondos han facilitado más de un millón de reprogramaciones de créditos y el otorgamiento de algo más de cien mil créditos Covid —con garantía estatal — para el financiamiento de capital de trabajo. A mayo, la inflación anual bajó a 2,8% y el componente subyacente —IPC sin volátiles— se mantuvo algo por sobre 2,5%. Las presiones inflacionarias se han reducido significativamente ante el abrupto aumento de la brecha de actividad en el segundo trimestre, a la vez que las presiones cambiarias han cedido por la apreciación del peso desde sus máximos de unas semanas atrás. En este contexto, las diversas medidas de expectativas de inflación dan cuenta de retrocesos en la inflación esperada a un año. A dos año s plazo, las expectativas medidas por la Encuesta de Operadores Financieros se ubicaron bajo 3% y en la Encuesta de Expectativas Económicas se mantuvieron en ese valor. El Consejo</w:t>
      </w:r>
    </w:p>
    <w:p>
      <w:r>
        <w:rPr>
          <w:b/>
        </w:rPr>
        <w:t>[2020_junio, chunk 3, score 0.322]</w:t>
      </w:r>
    </w:p>
    <w:p>
      <w:r>
        <w:t>altos niveles de volatilidad, como lo demuestran los movimientos de los últimos días. Comparado con la Reunión anterior, las bolsas y los premios por riesgo anotaron nuevas mejoras, un grupo importante de monedas se apreció frente al dólar y las salidas de capitales desde el mundo emergente tendieron a revertirse. Las tasas de interés de largo plazo se mantienen alrededor de valores mínimos. Los mercados financieros chilenos han seguido estas mismas tendencias, destacando la apreciación del peso. Respecto del crédito, el crecimiento anual de las colocaciones comerciales ha seguido aumentando en Chile y sus tasas de interés promedio han bajado. Asimismo, se aprecia una mayor focalización del crédito hacia empresas de menor tamaño. Por su lado, el incremento de las colocaciones hipotecarias permanece estable, mientras que el de las de consumo sigue disminuyendo. La banca ha seguido utilizando los recursos de la Facilidad de Financiamiento Condicional al Incremento de Colocaciones (FCIC), habiendo re tirado cerca del 83% de los recursos</w:t>
      </w:r>
    </w:p>
    <w:p>
      <w:r>
        <w:t>CONFIRMED RELEVANT CHUNK IDS: ____________________</w:t>
      </w:r>
    </w:p>
    <w:p/>
    <w:p>
      <w:pPr>
        <w:pStyle w:val="Heading2"/>
      </w:pPr>
      <w:r>
        <w:t>11. What was said about copper prices in the February 2018 meeting?</w:t>
      </w:r>
    </w:p>
    <w:p>
      <w:r>
        <w:t>Difficulty: medium  |  Expected papers: 2018_febrero</w:t>
      </w:r>
    </w:p>
    <w:p>
      <w:r>
        <w:rPr>
          <w:b/>
        </w:rPr>
        <w:t>[2018_febrero, chunk 0, score 0.441]</w:t>
      </w:r>
    </w:p>
    <w:p>
      <w:r>
        <w:t>Jueves 1 de febrero de 2018. Reunión de Política Monetaria En su Reunión de Política Monetaria, el Consejo del Banco Central de Chile acordó mantener la tasa de interés de política monetaria en 2, 5%, lo que implica mantener la intensidad del impulso monetario. La decisión fue adoptada por la unanimidad de sus miembros. En el ámbito internacional, el escenario relevante para la economía chilena sigue mejorando. En general, las economías desarrolla das continúan mostrando un buen desempeño y el crecimiento esperado para el 2018 ha aumentado en varias de ellas. La inflación, no obstante, sigue contenida en la mayoría de los casos. En este contexto, se ha mantenido la orientación de la política monetar ia en estos países. En el mundo emergente, destaca la sorpresa positiva del PIB de China en el cuarto trimestre del 2017, aunque otros indicadores de actividad tuvieron resultados mixtos, coherente con el escenario de desaceleración gradual y rebalanceo se ctorial previsto para esta economía.</w:t>
      </w:r>
    </w:p>
    <w:p>
      <w:r>
        <w:rPr>
          <w:b/>
        </w:rPr>
        <w:t>[2018_febrero, chunk 4, score 0.426]</w:t>
      </w:r>
    </w:p>
    <w:p>
      <w:r>
        <w:t>sigue en torno a 2% anual para la inflación total y subyacente —IPCSAE—. Su evolución sigue dando cuenta del impacto de la apreciación del peso durante los últimos meses, del bajo dinamismo de la actividad y del efecto de algunos shocks puntuales. La variación anual del IPCSAE de bienes se ubica en torno a 0% y la de servicios ce rca de 3%. Respecto de los precios más volátiles, la variación anual de los precios de las frutas y verduras volvió a ser levemente positiva. Las expectativas de inflación tuvieron movimientos acotados. Mientras a corto plazo se han ajustado algo a la baja , a dos años plazo no muestran cambios respecto de lo observado en la Reunión anterior. La decisión del Consejo consideró que los últimos datos son coherentes con el escenario base del IPoM de diciembre. Al mismo tiempo, se han reducido algunos de los rie sgos allí identificados. En particular, las últimas cifras de actividad hacen más</w:t>
      </w:r>
    </w:p>
    <w:p>
      <w:r>
        <w:rPr>
          <w:b/>
        </w:rPr>
        <w:t>[2018_febrero, chunk 5, score 0.415]</w:t>
      </w:r>
    </w:p>
    <w:p>
      <w:r>
        <w:t>identificados. En particular, las últimas cifras de actividad hacen más probable que la economía logre la tracción prevista, mientras que se mantienen condiciones financieras internas favorables. Así, aunque en los próximos meses la inflación será algo menor que lo previsto, principalmente por la evolución del tipo de cambio, las amenazas para su convergencia a 3% se han atenuado en el margen. En este contexto, el Consejo estima que la orientación general de la política monetaria delineada en el I PoM sigue siendo la adecuada. Esto es, un impulso monetario que se mantendrá en un nivel similar al actual, y que solo comenzará a retirarse una vez que se consolide el cierre de las holguras. De todos modos, el Consejo seguirá atento a señales de retraso en la convergencia de la inflación que pudieran justificar un impulso monetario adicional. Asimismo, reafirma su compromiso de conducir la política monetaria con flexibilidad, de manera que la inflación proyectada se ubique en 3% en</w:t>
      </w:r>
    </w:p>
    <w:p>
      <w:r>
        <w:rPr>
          <w:b/>
        </w:rPr>
        <w:t>[2018_febrero, chunk 2, score 0.393]</w:t>
      </w:r>
    </w:p>
    <w:p>
      <w:r>
        <w:t>A partir de la segunda quincena de diciembre, las tasas de largo plazo, la bolsa y el tipo de cambio mostraron una reversión relevante de las tendencias que se observaban al momento de la Reunión anterior, en respuesta a una combinación de factores internos y externos. Las tasas de interés de colocaciones persisten en niveles cercanos a sus mínimos históricos, mientra s el crecimiento del crédito mantiene, en general, un dinamismo acotado, con un aumento algo mayor en los préstamos para la vivienda. Los datos de actividad del cuarto trimestre del 2017 son algo mejores que lo previsto en el escenario base del IPoM de di ciembre, con sorpresas importantes en sectores asociados a la inversión, la que ha mostrado un desempeño algo por sobre lo estimado. El consumo mantiene la tendencia de meses previos, con un mayor crecimiento de las ventas de bienes durables, en particular de automóviles, y un consumo de no durables que sigue con una expansión</w:t>
      </w:r>
    </w:p>
    <w:p>
      <w:r>
        <w:rPr>
          <w:b/>
        </w:rPr>
        <w:t>[2018_febrero, chunk 1, score 0.391]</w:t>
      </w:r>
    </w:p>
    <w:p>
      <w:r>
        <w:t>desaceleración gradual y rebalanceo se ctorial previsto para esta economía. En América Latina, las noticias de actividad son de signo diverso, mientras que, con algunas excepciones, los indicadores de inflación han tendido a estabilizarse. Las condiciones financieras externas permanecen favorables, combinándose una mayor debilidad del dólar a nivel global, aumentos de las tasas de largo plazo en el mundo desarrollado con reducidos índices de volatilidad y bajas en los premios por riesgo. Todo esto, en un contexto de mercados bursátiles al alza y crecientes flujos de capitales a economías emergentes. Los precios de las materias primas subieron respecto de la Reunión anterior, mayormente por noticias que apuntan a un mercado más estrecho. En el caso del cobre el precio se ubica en torno a US$3,2 la libra y, en el del petróleo, se sitúa entre US$65 y 70 el barril. En el plano local, las condiciones financieras se mantienen favorables. A partir de la segunda quincena de diciembre, las tasas</w:t>
      </w:r>
    </w:p>
    <w:p>
      <w:r>
        <w:rPr>
          <w:b/>
        </w:rPr>
        <w:t>[2018_febrero, chunk 6, score 0.357]</w:t>
      </w:r>
    </w:p>
    <w:p>
      <w:r>
        <w:t>manera que la inflación proyectada se ubique en 3% en el horizonte de dos años.</w:t>
      </w:r>
    </w:p>
    <w:p>
      <w:r>
        <w:rPr>
          <w:b/>
        </w:rPr>
        <w:t>[2018_febrero, chunk 3, score 0.338]</w:t>
      </w:r>
    </w:p>
    <w:p>
      <w:r>
        <w:t>un consumo de no durables que sigue con una expansión anual más acotada, pero algo mayor que la de los últimos meses. El crecimiento de la masa salarial, en torno a 3,5% anual, sigue apoyando esta expansión del consumo. Las exportaciones mineras e industriales cerraron el año con tasas de crecimiento importantes en valor y volumen, revirtiendo la tendencia de trimestres anteriores. El empleo asalariado ha aumentado su tasa de variación anual, explicado por el crecimiento del empleo públic o. La tasa de desempleo disminuyó respecto del registro previo, aunque se mantiene por sobre los niveles de hace un año. El crecimiento anual de los salarios nominales y reales no muestra mayores novedades y sigue en niveles en torno a 4,5 y 2,5%, respectivamente. En este contexto, las expectativas privadas de crecimiento aumentaron, lo mismo que los indicadores de confianza. La inflación no ha mostrado grandes sorpresas y su nivel sigue en torno a 2% anual para la inflación total</w:t>
      </w:r>
    </w:p>
    <w:p>
      <w:r>
        <w:t>CONFIRMED RELEVANT CHUNK IDS: ____________________</w:t>
      </w:r>
    </w:p>
    <w:p/>
    <w:p>
      <w:pPr>
        <w:pStyle w:val="Heading2"/>
      </w:pPr>
      <w:r>
        <w:t>12. How did the policy rate change from March 2020 through July 2020?</w:t>
      </w:r>
    </w:p>
    <w:p>
      <w:r>
        <w:t>Difficulty: hard  |  Expected papers: 2020_marzo, 2020_mayo, 2020_junio, 2020_julio</w:t>
      </w:r>
    </w:p>
    <w:p>
      <w:r>
        <w:rPr>
          <w:b/>
        </w:rPr>
        <w:t>[2020_mayo, chunk 0, score 0.611]</w:t>
      </w:r>
    </w:p>
    <w:p>
      <w:r>
        <w:t>Miércoles 6 de mayo de 2020 Reunión de Política Monetaria – mayo 2020 En su Reunión de Política Monetaria, el Consejo del Banco Central de Chile acordó mantener la tasa de interés de política monetaria en 0,50%. La decisión fue adoptada por la unanimidad de sus miembros. La evolución de la pandemia del Covid-19 y el efecto de las medidas sanitarias adoptadas para su contención sigue condicionando el escenario macroeconómico a nivel global. Actualmente, el conjunto de proyecciones de organ ismos públicos y privados anticipa una recesión mundial para este año, con caídas de la actividad que superan lo considerado en el escenario base del IPoM de marzo. Las primeras cifras del PIB del primer trimestre en las principales economías confirman con tracciones generalizadas, en varios casos más profundas de lo esperado, al mismo tiempo que en diversos países ya se aprecia un significativo aumento del desempleo. Además, es previsible que las prácticas de contención sanitaria se mantendrán durante buena</w:t>
      </w:r>
    </w:p>
    <w:p>
      <w:r>
        <w:rPr>
          <w:b/>
        </w:rPr>
        <w:t>[2020_julio, chunk 3, score 0.605]</w:t>
      </w:r>
    </w:p>
    <w:p>
      <w:r>
        <w:t>recientes rebrotes del Covid -19 en varios países —con especial fuerza en EE.UU. — y la reposición de los confinamientos en algunos de ellos. Los movimientos del mercado financiero interno han reflejado tanto los desarrollos externos como el mayor impulso que está proveyendo la política monetaria. En particular, las expectativas para la TPM se alinearon con una mantención prolongada de ella en su mínimo técnico y las tasas de interés de larg o plazo —BCP 5 y 10 — tuvieron descensos significativos en los días posteriores, ubicándose actualmente entre 15 y 25pb por debajo del nivel previo a la anterior Reunión. Por su lado, la bolsa siguió aumentando y el peso, con vaivenes, se encuentra en nivel es similares a los vigentes al momento de la Reunión previa. Respecto del crédito, en junio, la variación anual de las colocaciones comerciales siguió aumentando, al mismo tiempo que continuó disminuyendo en consumo. Las tasas de interés permanecen bajas en todos los segmentos.</w:t>
      </w:r>
    </w:p>
    <w:p>
      <w:r>
        <w:rPr>
          <w:b/>
        </w:rPr>
        <w:t>[2020_julio, chunk 5, score 0.582]</w:t>
      </w:r>
    </w:p>
    <w:p>
      <w:r>
        <w:t>se redujo a 2,5%. Las presiones inflacionarias continúan reducidas ante el abrupto aumento de la brecha de actividad en los últimos meses. En este c ontexto, las expectativas de inflación medidas por la Encuesta de Expectativas Económicas (EEE) y de Operadores Financieros (EOF) no han mostrado mayores cambios. A un año plazo, ambas se ubican por debajo de 3%, mientras que a dos años plazo, la EOF antic ipa un valor de 2,6% y la EEE uno de 3%. El Consejo reitera que mantendrá un elevado impulso monetario por un período prolongado de tiempo, de modo de asegurar el cumplimiento de sus objetivos. En particular, estima que la TPM permanecerá en su mínimo téc nico durante todo el horizonte de proyección y acordó continuar con el actual programa de compra de activos, lo que se materializará en una compra de hasta US$1.500 millones durante las próximas cuatro semanas. Además, en caso de que la evolución de la eco nomía así</w:t>
      </w:r>
    </w:p>
    <w:p>
      <w:r>
        <w:rPr>
          <w:b/>
        </w:rPr>
        <w:t>[2020_julio, chunk 0, score 0.579]</w:t>
      </w:r>
    </w:p>
    <w:p>
      <w:r>
        <w:t>Miércoles 15 de julio de 2020 Reunión de Política Monetaria – julio 2020 En su Reunión de Política Monetaria, el Consejo del Banco Central de Chile acordó, por unanimidad de sus miembros, mantener la tasa de interés de política monetaria en 0,50%. Asimismo, acordó mantener las medidas no convencionales de apoyo a la liquidez y el crédito. El escenario macroeconómico sigue condicionado por la evolución de la pandemia del Covid-19. En lo interno, las cifras disponibles del s egundo trimestre confirman que la economía sufrió una significativa contracción. El IMACEC de mayo reportó una caída de 15,3% anual, observándose descensos en casi todos los sectores. Las exportaciones muestran un grado de resiliencia mayor al previsto, al mismo tiempo que las importaciones presentan alguna estabilización en sus niveles tras las fuertes caídas de los meses previos. Las expectativas empresariales y de consumidores siguen en niveles muy pesimistas. Las medidas de contención sanitaria más estr ictas continúan afectando a una parte relevante</w:t>
      </w:r>
    </w:p>
    <w:p>
      <w:r>
        <w:rPr>
          <w:b/>
        </w:rPr>
        <w:t>[2020_junio, chunk 0, score 0.539]</w:t>
      </w:r>
    </w:p>
    <w:p>
      <w:r>
        <w:t>Martes 16 de junio de 2020 Reunión de Política Monetaria – junio 2020 En su Reunión de Política Monetaria, el Consejo del Banco Central de Chile acordó, por unanimidad de sus miembros, mantener la tasa de interés de política monetaria en 0,50%. Asimismo, acordó ampliar las medidas no convencionales de apoyo a la liquidez y el crédito. Los efectos de la pandemia de Covid -19 se han seguido prolongando e intensificando, en particular por la necesidad de decretar cuarentenas e n comunas del país que abarcan a casi la mitad de la población nacional. El Imacec de abril dio cuenta de una importante caída de la actividad, que se profundizará en mayo y junio dada la ampliación y duración de las medidas de contención decretadas en eso s meses. El mercado del trabajo también está experimentando un importante deterioro, acompañado de caídas en diversos indicadores de consumo y expectativas en niveles marcadamente pesimistas. Por el lado de la inversión, destaca</w:t>
      </w:r>
    </w:p>
    <w:p>
      <w:r>
        <w:rPr>
          <w:b/>
        </w:rPr>
        <w:t>[2020_junio, chunk 2, score 0.527]</w:t>
      </w:r>
    </w:p>
    <w:p>
      <w:r>
        <w:t>aún permanecen lejos de sus niveles previos a la emergencia sanitaria. En algunas economías las expectativas de hogares y empresas tuvieron un rebote en el margen, aunque la mayoría se mantienen en terreno contractivo. Las autoridades monetarias y fiscales han hecho nuevos anuncios orientados a apuntalar el proceso de recuperación de la actividad y preservar la estabilidad financiera, resaltando los efectuados por el Banco Central Europe o y la Reserva Federal. Los precios de las materias primas, en general, también subieron, aunque con marcados vaivenes en el caso del petróleo. El del cobre tocó sus mayores valores desde fines de enero. Aun así, se mantiene un alto grado de incertidumbre sobre la posibilidad de reactivación del contagio y una alta sensibilidad ante señales en tal sentido. La magnitud de los apoyos fiscales y monetarios ha continuado apuntalando el desempeño de los mercados financieros mundiales, que de todos modos siguen mostrando altos niveles de volatilidad, como lo demuestran los movimientos de</w:t>
      </w:r>
    </w:p>
    <w:p>
      <w:r>
        <w:rPr>
          <w:b/>
        </w:rPr>
        <w:t>[2020_mayo, chunk 1, score 0.524]</w:t>
      </w:r>
    </w:p>
    <w:p>
      <w:r>
        <w:t>que las prácticas de contención sanitaria se mantendrán durante buena parte del segundo trimestre. En este contexto, los bancos centrales y los gobiernos han continuado reforzando sus políticas de estímulo, apuntando a limitar el impacto negativo en la situación de empresas, hogares e instituciones financieras y apoyar la r ecuperación en el segundo semestre del año. Estas medidas también han contribuido a contener el deterioro de las condiciones financieras, pero persiste un alto grado de incertidumbre, tanto en lo sanitario como lo económico. En lo que se refiere al escena rio macroeconómico interno, la caída del Imacec de marzo estuvo en línea con el panorama descrito en el último IPoM, ratificando el inicio del proceso de contracción económica provocado por la emergencia sanitaria. Así, se observó un impacto negativo en bu ena parte de los sectores económicos, especialmente en la actividad del comercio, educación, transporte, restaurantes y hoteles. La encuesta de empleo del INE, los datos de registros administrativos e</w:t>
      </w:r>
    </w:p>
    <w:p>
      <w:r>
        <w:rPr>
          <w:b/>
        </w:rPr>
        <w:t>[2020_junio, chunk 3, score 0.522]</w:t>
      </w:r>
    </w:p>
    <w:p>
      <w:r>
        <w:t>altos niveles de volatilidad, como lo demuestran los movimientos de los últimos días. Comparado con la Reunión anterior, las bolsas y los premios por riesgo anotaron nuevas mejoras, un grupo importante de monedas se apreció frente al dólar y las salidas de capitales desde el mundo emergente tendieron a revertirse. Las tasas de interés de largo plazo se mantienen alrededor de valores mínimos. Los mercados financieros chilenos han seguido estas mismas tendencias, destacando la apreciación del peso. Respecto del crédito, el crecimiento anual de las colocaciones comerciales ha seguido aumentando en Chile y sus tasas de interés promedio han bajado. Asimismo, se aprecia una mayor focalización del crédito hacia empresas de menor tamaño. Por su lado, el incremento de las colocaciones hipotecarias permanece estable, mientras que el de las de consumo sigue disminuyendo. La banca ha seguido utilizando los recursos de la Facilidad de Financiamiento Condicional al Incremento de Colocaciones (FCIC), habiendo re tirado cerca del 83% de los recursos</w:t>
      </w:r>
    </w:p>
    <w:p>
      <w:r>
        <w:t>CONFIRMED RELEVANT CHUNK IDS: ____________________</w:t>
      </w:r>
    </w:p>
    <w:p/>
    <w:p>
      <w:pPr>
        <w:pStyle w:val="Heading2"/>
      </w:pPr>
      <w:r>
        <w:t>13. When did the Council begin raising rates after the pandemic-era cuts, and why?</w:t>
      </w:r>
    </w:p>
    <w:p>
      <w:r>
        <w:t>Difficulty: hard  |  Expected papers: 2020_julio, 2021_octubre, 2022_enero</w:t>
      </w:r>
    </w:p>
    <w:p>
      <w:r>
        <w:rPr>
          <w:b/>
        </w:rPr>
        <w:t>[2021_octubre, chunk 3, score 0.6]</w:t>
      </w:r>
    </w:p>
    <w:p>
      <w:r>
        <w:t>mismo tiempo que varios sectores que se encontraban rezagados — especialmente actividades de servicios— volvieron a los niveles de actividad previos a la pandemia, resultado en que junto con la elevada demanda se evidenció la reducción de las restricciones sanitarias. Los rubros ligados a la inversión muestran un repunte significativo, dando cuenta de una recuperación que Comunicado de Prensa se ha vuelto más transversal, más allá de que el componente transable sigue siendo el de mayor dinamismo. En el mercado laboral, el empleo ha aumentado en las principales catego rías, acompañado por una caída de la inactividad y la tasa de desempleo, que se ubicó en 8,5% en el trimestre junio -agosto. Sin embargo, continúa una notoria diferencia entre la oferta y la demanda de empleo, principalmente en trabajadores menos calificado s, lo que también se refleja en aumentos de los salarios. En este contexto, las expectativas privadas para el crecimiento de este año han seguido incrementándose, hasta 11% en</w:t>
      </w:r>
    </w:p>
    <w:p>
      <w:r>
        <w:rPr>
          <w:b/>
        </w:rPr>
        <w:t>[2021_octubre, chunk 2, score 0.583]</w:t>
      </w:r>
    </w:p>
    <w:p>
      <w:r>
        <w:t>cambio en las perspectivas para la inflación y la incertidumbre sobre temas político -legislativos, particularmente respecto de nuevos retiros de ahorros previsionales. En el mercado de renta fija, las tasas de interés aumentaron transversalmente, sobre todo en los tramos medio y largo. La tasa de interés nominal a 10 años alcanzó valores superiores al 6,5%, no vistos en algo más de una década. Así, desde comienzos de septiembre a la fecha, el diferencial con su símil de EE.UU. pasó del orden de 370 puntos base (pb) a cerca de 500pb. En igual lapso, el tipo de cambio continuó subiendo, acumulando una depreciación de más de 5% relativo al dólar, el IPSA disminuyó alrededor de 8% y el riesgo país (CDS) aumentó en torno a 25pb. Respecto de la actividad, el Imacec de agosto creció 19,1% anual y 1,1% mensual desestacionalizado. El comercio continúa siendo el sector de mayor dinamismo, al mismo tiempo que varios sectores que se encontraban rezagados —</w:t>
      </w:r>
    </w:p>
    <w:p>
      <w:r>
        <w:rPr>
          <w:b/>
        </w:rPr>
        <w:t>[2022_enero, chunk 0, score 0.58]</w:t>
      </w:r>
    </w:p>
    <w:p>
      <w:r>
        <w:t>Miércoles 26 de enero de 2022. Reunión de Política Monetaria – enero 2022 En su Reunión de Política Monetaria, el Consejo del Banco Central de Chile acordó incrementar la tasa de interés de política monetaria en 150 puntos base, hasta 5,5%. La decisión fue adoptada por la unanimidad de los Consejeros presentes. En el plano externo, la economía mundial ha perdido algo de dinamismo, pero las perspectivas para el año no muestran mayores cambios. El alza de contagios de Covid-19 ha sido significativa en muchos países y si bien se observa un descenso en la movilidad, sus efectos en la actividad han sido acotados. En todo caso, los riesgos en torno a China aumentan por la mayor intensidad de las restricciones y su potencial impacto en la persistencia de los cuellos de botella a nivel global. La inflación ha seguido aumentando en diversa s economías, con bancos centrales que han intensificado el giro hacia el retiro de los estímulos monetarios.</w:t>
      </w:r>
    </w:p>
    <w:p>
      <w:r>
        <w:rPr>
          <w:b/>
        </w:rPr>
        <w:t>[2021_octubre, chunk 6, score 0.573]</w:t>
      </w:r>
    </w:p>
    <w:p>
      <w:r>
        <w:t>medidas superan las proyecciones del IPoM de septiembre, sobrepasando el 6% para fines de este año. A dos años plazo, la mediana de la EEE y de la Encuesta de Operadores Financieros (EOF) ha subido y permanece por sobre 3% anual. La evolución del escenario macroeconómico ha aumentado los riesgos para la convergencia de la inflación a la meta de 3% dentro del horizonte de política. Si bien la inflación subyacente ha evolucionado dentro de lo previsto, las perspectivas para los próximos meses se han ido elevando, en un contexto en que las expectativas de inflación a dos años pla zo se ubican por sobre la meta de 3%. El Consejo ha decidido adelantar el retiro del estímulo monetario, anticipando que la TPM se ubicará en su nivel neutral antes de lo previsto en el escenario central del IPoM de septiembre. La trayectoria de la TPM ser á evaluada en el IPoM próximo, teniendo presente la necesidad de evitar que</w:t>
      </w:r>
    </w:p>
    <w:p>
      <w:r>
        <w:rPr>
          <w:b/>
        </w:rPr>
        <w:t>[2021_octubre, chunk 7, score 0.56]</w:t>
      </w:r>
    </w:p>
    <w:p>
      <w:r>
        <w:t>el IPoM próximo, teniendo presente la necesidad de evitar que se produzca un aumento más persistente de la inflación que la lleve a desviarse de la meta de 3% a dos años plazo. Adicionalmente, el Consejo acordó suspender el programa de acumulación de reservas iniciado en enero de este año, en virtud de la evolución reciente del mercado financiero y el nivel de reservas internacionales ya alcanzado.</w:t>
      </w:r>
    </w:p>
    <w:p>
      <w:r>
        <w:rPr>
          <w:b/>
        </w:rPr>
        <w:t>[2022_enero, chunk 4, score 0.558]</w:t>
      </w:r>
    </w:p>
    <w:p>
      <w:r>
        <w:t>por los precios de los bienes —que sorprendieron al alza— como de los servicios. En el componente volátil, continuó destacando la contribución de los combustibles y la evolución de algunos ítems puntuales. Las expectativas privadas de inflación permanecen sobre 3% a dos años plazo. Los riesgos para la evolución de la inflación siguen siendo significativos y su eventual concreción se torna especialmente relevante en un contexto en que tanto la variación anual del IPC como sus perspectivas ya son elevadas. En particular, la evolución reciente de la actividad y de la inflación se ubica algo por encima de lo previsto en el IPoM de diciembre y las presiones inflacionarias derivadas del escenario internacional han aumentado. La decisión del Consejo es coherente con una trayectoria de política monetaria que, en el corto plazo, se ubicaría en torno al borde superior del corredor de tasa considerado en el IPoM pasado. Una nueva evaluación de este se realizará en el próximo IPoM.</w:t>
      </w:r>
    </w:p>
    <w:p>
      <w:r>
        <w:rPr>
          <w:b/>
        </w:rPr>
        <w:t>[2020_julio, chunk 1, score 0.53]</w:t>
      </w:r>
    </w:p>
    <w:p>
      <w:r>
        <w:t>sanitaria más estr ictas continúan afectando a una parte relevante del país, aunque los indicadores sanitarios han tenido una evolución positiva que ha permitido iniciar procesos de desconfinamiento en algunas regiones. Diversas fuentes de información cuantitativa y cualitat iva dan cuenta de un significativo deterioro del mercado laboral, donde destaca la caída del empleo, la reducción de las horas trabajadas y de los salarios. Las medidas gubernamentales de mitigación de esta pérdida de ingresos se han ido materializando con mayor fuerza desde junio. La mediana de las expectativas privadas contenidas en la EEE de julio anticipa que el PIB caerá 6,1% este año, en línea con el rango del escenario central del último IPoM. En todo caso, sigue observándose una alta dispersión en e stas estimaciones. En el escenario externo, los datos coyunturales exhiben mejoras en un grupo importante de países, en línea con la reapertura gradual de sus economías, lo que es visible en los indicadores de producción industrial,</w:t>
      </w:r>
    </w:p>
    <w:p>
      <w:r>
        <w:rPr>
          <w:b/>
        </w:rPr>
        <w:t>[2021_octubre, chunk 0, score 0.524]</w:t>
      </w:r>
    </w:p>
    <w:p>
      <w:r>
        <w:t>Miércoles 13 de octubre de 2021. Reunión de Política Monetaria – octubre 2021 En su Reunión de Política Monetaria, el Consejo del Banco Central de Chile acordó incrementar la tasa de interés de política monetaria en 125 puntos base, hasta 2,75%. La decisión fue adoptada por la unanimidad de sus miembros. En el plano externo, las perspectivas para la actividad mundial se han moderado en el margen como consecuencia de las restricciones asociadas a los rebrotes de Covid -19 en algunas economías y de la persistencia de los cuellos de botella a nivel global, lo que ha limitado el crecimiento de ciertos sectores. Esto ha ocurrido en un contexto en que la inflación global ha seguido aumentando. El alza de los pre cios de los combustibles ha sido notoria en los últimos días, con el barril de petróleo superando los US$80 el barril, lo que equivale a un incremento de más de 15% desde la Reunión anterior. El precio del</w:t>
      </w:r>
    </w:p>
    <w:p>
      <w:r>
        <w:t>CONFIRMED RELEVANT CHUNK IDS: ____________________</w:t>
      </w:r>
    </w:p>
    <w:p/>
    <w:p>
      <w:pPr>
        <w:pStyle w:val="Heading2"/>
      </w:pPr>
      <w:r>
        <w:t>14. How did the Council's tone on inflation expectations shift between 2020 and 2022?</w:t>
      </w:r>
    </w:p>
    <w:p>
      <w:r>
        <w:t>Difficulty: hard  |  Expected papers: 2020_marzo, 2021_octubre, 2022_enero</w:t>
      </w:r>
    </w:p>
    <w:p>
      <w:r>
        <w:rPr>
          <w:b/>
        </w:rPr>
        <w:t>[2022_enero, chunk 4, score 0.717]</w:t>
      </w:r>
    </w:p>
    <w:p>
      <w:r>
        <w:t>por los precios de los bienes —que sorprendieron al alza— como de los servicios. En el componente volátil, continuó destacando la contribución de los combustibles y la evolución de algunos ítems puntuales. Las expectativas privadas de inflación permanecen sobre 3% a dos años plazo. Los riesgos para la evolución de la inflación siguen siendo significativos y su eventual concreción se torna especialmente relevante en un contexto en que tanto la variación anual del IPC como sus perspectivas ya son elevadas. En particular, la evolución reciente de la actividad y de la inflación se ubica algo por encima de lo previsto en el IPoM de diciembre y las presiones inflacionarias derivadas del escenario internacional han aumentado. La decisión del Consejo es coherente con una trayectoria de política monetaria que, en el corto plazo, se ubicaría en torno al borde superior del corredor de tasa considerado en el IPoM pasado. Una nueva evaluación de este se realizará en el próximo IPoM.</w:t>
      </w:r>
    </w:p>
    <w:p>
      <w:r>
        <w:rPr>
          <w:b/>
        </w:rPr>
        <w:t>[2021_octubre, chunk 6, score 0.683]</w:t>
      </w:r>
    </w:p>
    <w:p>
      <w:r>
        <w:t>medidas superan las proyecciones del IPoM de septiembre, sobrepasando el 6% para fines de este año. A dos años plazo, la mediana de la EEE y de la Encuesta de Operadores Financieros (EOF) ha subido y permanece por sobre 3% anual. La evolución del escenario macroeconómico ha aumentado los riesgos para la convergencia de la inflación a la meta de 3% dentro del horizonte de política. Si bien la inflación subyacente ha evolucionado dentro de lo previsto, las perspectivas para los próximos meses se han ido elevando, en un contexto en que las expectativas de inflación a dos años pla zo se ubican por sobre la meta de 3%. El Consejo ha decidido adelantar el retiro del estímulo monetario, anticipando que la TPM se ubicará en su nivel neutral antes de lo previsto en el escenario central del IPoM de septiembre. La trayectoria de la TPM ser á evaluada en el IPoM próximo, teniendo presente la necesidad de evitar que</w:t>
      </w:r>
    </w:p>
    <w:p>
      <w:r>
        <w:rPr>
          <w:b/>
        </w:rPr>
        <w:t>[2021_octubre, chunk 2, score 0.668]</w:t>
      </w:r>
    </w:p>
    <w:p>
      <w:r>
        <w:t>cambio en las perspectivas para la inflación y la incertidumbre sobre temas político -legislativos, particularmente respecto de nuevos retiros de ahorros previsionales. En el mercado de renta fija, las tasas de interés aumentaron transversalmente, sobre todo en los tramos medio y largo. La tasa de interés nominal a 10 años alcanzó valores superiores al 6,5%, no vistos en algo más de una década. Así, desde comienzos de septiembre a la fecha, el diferencial con su símil de EE.UU. pasó del orden de 370 puntos base (pb) a cerca de 500pb. En igual lapso, el tipo de cambio continuó subiendo, acumulando una depreciación de más de 5% relativo al dólar, el IPSA disminuyó alrededor de 8% y el riesgo país (CDS) aumentó en torno a 25pb. Respecto de la actividad, el Imacec de agosto creció 19,1% anual y 1,1% mensual desestacionalizado. El comercio continúa siendo el sector de mayor dinamismo, al mismo tiempo que varios sectores que se encontraban rezagados —</w:t>
      </w:r>
    </w:p>
    <w:p>
      <w:r>
        <w:rPr>
          <w:b/>
        </w:rPr>
        <w:t>[2022_enero, chunk 0, score 0.651]</w:t>
      </w:r>
    </w:p>
    <w:p>
      <w:r>
        <w:t>Miércoles 26 de enero de 2022. Reunión de Política Monetaria – enero 2022 En su Reunión de Política Monetaria, el Consejo del Banco Central de Chile acordó incrementar la tasa de interés de política monetaria en 150 puntos base, hasta 5,5%. La decisión fue adoptada por la unanimidad de los Consejeros presentes. En el plano externo, la economía mundial ha perdido algo de dinamismo, pero las perspectivas para el año no muestran mayores cambios. El alza de contagios de Covid-19 ha sido significativa en muchos países y si bien se observa un descenso en la movilidad, sus efectos en la actividad han sido acotados. En todo caso, los riesgos en torno a China aumentan por la mayor intensidad de las restricciones y su potencial impacto en la persistencia de los cuellos de botella a nivel global. La inflación ha seguido aumentando en diversa s economías, con bancos centrales que han intensificado el giro hacia el retiro de los estímulos monetarios.</w:t>
      </w:r>
    </w:p>
    <w:p>
      <w:r>
        <w:rPr>
          <w:b/>
        </w:rPr>
        <w:t>[2021_octubre, chunk 4, score 0.65]</w:t>
      </w:r>
    </w:p>
    <w:p>
      <w:r>
        <w:t>crecimiento de este año han seguido incrementándose, hasta 11% en la Encuesta de Expectativas Económicas (EEE) de octubre. Para los años 2022 y 20 23, el desempeño esperado de la economía se reduce de forma importante, a cifras del orden de 2% en cada uno. La confianza empresarial (IMCE) se ubica en terreno optimista, considerándose mayores contrataciones en el corto plazo, aunque también muestra aum entos de costos y escasez de inventarios. En los consumidores (IPEC), la confianza registra una leve caída, afectada especialmente por el aumento de la inflación, que según varios antecedentes cualitativos se ubica como el tema económico de mayor preocupación para la ciudadanía. En cuanto al crédito bancario, las colocaciones de consumo y comerciales redujeron sus tasas de contracción anual en términos reales, en tanto los flujos de préstamos hipotecarios se mantienen relativamente estables. Las tasas de interés volvieron a incrementarse en el margen en todas las carteras. Por su parte, la Encuesta de Crédito Bancario</w:t>
      </w:r>
    </w:p>
    <w:p>
      <w:r>
        <w:rPr>
          <w:b/>
        </w:rPr>
        <w:t>[2021_octubre, chunk 1, score 0.636]</w:t>
      </w:r>
    </w:p>
    <w:p>
      <w:r>
        <w:t>más de 15% desde la Reunión anterior. El precio del cobre se ha mantenido en torno a US$4,2 la libra. En este escenario, varios bancos centrales han adoptado una orientación menos expansiva, destacando los cambios en la comunicación de la Fed y del Banco de Inglaterra, junto con alzas de tasas en Noruega, Nueva Zelanda y varias economías emergentes. Los me rcados financieros internacionales muestran un menor apetito por riesgo, considerando tanto los antecedentes previamente mencionados como los temores en torno al sector inmobiliario en China. Con esto, se ha observado un aumento transversal de las tasas de interés, la depreciación de un número importante de monedas frente al dólar y movimientos dispares en los mercados bursátiles. En Chile, el deterioro de los mercados financieros ha sido mucho más marcado y sistemático, ubicándose en los extremos de los m ovimientos internacionales. Ello se explica por factores idiosincráticos, en especial el cambio en las perspectivas para la inflación y la incertidumbre</w:t>
      </w:r>
    </w:p>
    <w:p>
      <w:r>
        <w:rPr>
          <w:b/>
        </w:rPr>
        <w:t>[2021_octubre, chunk 7, score 0.636]</w:t>
      </w:r>
    </w:p>
    <w:p>
      <w:r>
        <w:t>el IPoM próximo, teniendo presente la necesidad de evitar que se produzca un aumento más persistente de la inflación que la lleve a desviarse de la meta de 3% a dos años plazo. Adicionalmente, el Consejo acordó suspender el programa de acumulación de reservas iniciado en enero de este año, en virtud de la evolución reciente del mercado financiero y el nivel de reservas internacionales ya alcanzado.</w:t>
      </w:r>
    </w:p>
    <w:p>
      <w:r>
        <w:rPr>
          <w:b/>
        </w:rPr>
        <w:t>[2022_enero, chunk 2, score 0.632]</w:t>
      </w:r>
    </w:p>
    <w:p>
      <w:r>
        <w:t>5%, las tasas de interés de largo plazo, aunque con vaive nes, se ubican en niveles similares y el riesgo país (CDS) retrocedió cerca de 10 puntos base (pb). Por otro lado, las tasas de interés de corto plazo subieron, en respuesta a la mayor inflación efectiva y a expectativas de tasa de política monetaria más e levadas. De todas formas, los niveles de incertidumbre siguen siendo elevados en comparación histórica y las tasas de interés de largo plazo mantienen un diferencial relevante respecto de sus pares externos. En el agregado, los indicadores de actividad y d emanda son coherentes con la parte alta del rango de proyección para el 2021 considerado en el IPoM de diciembre. En noviembre, la actividad aumentó 14,3% anual —0,3% mensual para la serie desestacionalizada—, destacando la contribución de las actividades de servicios y, en menor medida, del comercio. En la demanda, resalta el sostenido dinamismo de las importaciones de todo tipo de bienes. Las</w:t>
      </w:r>
    </w:p>
    <w:p>
      <w:r>
        <w:t>CONFIRMED RELEVANT CHUNK IDS: ____________________</w:t>
      </w:r>
    </w:p>
    <w:p/>
    <w:p>
      <w:pPr>
        <w:pStyle w:val="Heading2"/>
      </w:pPr>
      <w:r>
        <w:t>15. What non-conventional pandemic support measures were introduced, then later withdrawn or maintained, across 2020 and 2021?</w:t>
      </w:r>
    </w:p>
    <w:p>
      <w:r>
        <w:t>Difficulty: hard  |  Expected papers: 2020_marzo, 2020_junio, 2021_marzo</w:t>
      </w:r>
    </w:p>
    <w:p>
      <w:r>
        <w:rPr>
          <w:b/>
        </w:rPr>
        <w:t>[2021_marzo, chunk 3, score 0.599]</w:t>
      </w:r>
    </w:p>
    <w:p>
      <w:r>
        <w:t>actividad. La aplicación de mayores restricciones sanitarias afectará el desempeño de la economía en lo inmediato. Sin embargo, su efecto será menor al observado previamente, pues las empresas han ido adaptándose para operar en estas condiciones y el Gobierno ha propuesto nuevas medidas de apoyo a los hogares. Con todo, las perspecti vas de crecimiento para el 2021 han aumentado respecto de lo previsto a fines del año pasado de la mano del mayor punto de partida, el avance del proceso de vacunación y el mejoramiento de las condiciones externas. La inflación total ha continuado en torn o a 3% anual, con vaivenes mensuales relevantes y sorpresas en direcciones opuestas. Así, el IPC de febre ro estuvo por debajo de lo esperado por el mercado, luego de un registro que sorprendió al alza en enero. En el comportamiento de la inflación de los ú ltimos meses destacan los mayores precios de productos volátiles como los combustibles y frutas y verdura</w:t>
      </w:r>
    </w:p>
    <w:p>
      <w:r>
        <w:rPr>
          <w:b/>
        </w:rPr>
        <w:t>[2020_junio, chunk 1, score 0.577]</w:t>
      </w:r>
    </w:p>
    <w:p>
      <w:r>
        <w:t>niveles marcadamente pesimistas. Por el lado de la inversión, destaca la sostenida baja de las importaciones de bienes de capital y expectativas empresariales que persisten notoriamente negativas. Con ello, las expectativas privadas de crecimiento durante este año se han corregido a la baja. En este contexto, el reciente Plan de Emergencia acordado po r el Gobierno y la Comisión de Hacienda ampliada será un importante aporte para mitigar los negativos efectos económicos de la pandemia, tanto por las medidas consideradas como por su perspectiva de mediano plazo. En el escenario externo destaca la flexib ilización de las medidas de confinamiento en varios países tras la caída en sus índices de contagio y muertes. Esta reapertura gradual ha llevado a una leve mejora de ciertos indicadores de corto plazo, destacando las sorpresas en los datos industriales de China, lo mismo que las ventas y el empleo en EE.UU. De todas formas, aún permanecen lejos de sus niveles previos a la emergencia</w:t>
      </w:r>
    </w:p>
    <w:p>
      <w:r>
        <w:rPr>
          <w:b/>
        </w:rPr>
        <w:t>[2020_junio, chunk 2, score 0.546]</w:t>
      </w:r>
    </w:p>
    <w:p>
      <w:r>
        <w:t>aún permanecen lejos de sus niveles previos a la emergencia sanitaria. En algunas economías las expectativas de hogares y empresas tuvieron un rebote en el margen, aunque la mayoría se mantienen en terreno contractivo. Las autoridades monetarias y fiscales han hecho nuevos anuncios orientados a apuntalar el proceso de recuperación de la actividad y preservar la estabilidad financiera, resaltando los efectuados por el Banco Central Europe o y la Reserva Federal. Los precios de las materias primas, en general, también subieron, aunque con marcados vaivenes en el caso del petróleo. El del cobre tocó sus mayores valores desde fines de enero. Aun así, se mantiene un alto grado de incertidumbre sobre la posibilidad de reactivación del contagio y una alta sensibilidad ante señales en tal sentido. La magnitud de los apoyos fiscales y monetarios ha continuado apuntalando el desempeño de los mercados financieros mundiales, que de todos modos siguen mostrando altos niveles de volatilidad, como lo demuestran los movimientos de</w:t>
      </w:r>
    </w:p>
    <w:p>
      <w:r>
        <w:rPr>
          <w:b/>
        </w:rPr>
        <w:t>[2021_marzo, chunk 5, score 0.482]</w:t>
      </w:r>
    </w:p>
    <w:p>
      <w:r>
        <w:t>los componentes del gasto más rezagados, lo que aún tomará varios trimestres. El Consejo reit era que futuros cambios en la política monetaria dependerán de la evolución del panorama macroeconómico y sus implicancias para la evolución de la inflación. Las medidas no convencionales seguirán operando en las condiciones vigentes, complementando la or ientación de la política monetaria definida por la TPM, y sus eventuales modificaciones serán anunciadas co n suficiente anticipación. El Informe de Política Monetaria de marzo, que contiene las proyecciones y análisis que sustentan estas decisiones del Co nsejo, se publicará mañana miércoles 31 de marzo a las 8:30 horas.</w:t>
      </w:r>
    </w:p>
    <w:p>
      <w:r>
        <w:rPr>
          <w:b/>
        </w:rPr>
        <w:t>[2020_junio, chunk 5, score 0.469]</w:t>
      </w:r>
    </w:p>
    <w:p>
      <w:r>
        <w:t>de Expectativas Económicas se mantuvieron en ese valor. El Consejo estima que la evolución de la economía requiere de una intensificación del impulso monetario. Por ello, junto con mantener la TPM en 0,5% —que corresponde a la actual estimación de su mínimo técnico —, decidió ampliar el uso de instrumentos no convencionales. Primero, acordó abrir una segunda etapa de la FCIC que contempla un monto de US$16 mil millones y una vigencia de ocho meses. Este programa considera el fortalecimiento de los incentivos para la entrega de crédito bancario a pequeñas y medianas empresas, y a oferentes de crédito no bancarios. Segundo, acordó implementar un programa especial de compra de activos, por un monto de hasta US$8 mil millones, en un plazo de seis meses. De esta manera, a través de ambos programas, se movilizarán recursos adicionales por hasta 10% del PIB. El monto inicial de compra de activos, las fech as específicas de la puesta en marcha, condiciones financieras</w:t>
      </w:r>
    </w:p>
    <w:p>
      <w:r>
        <w:rPr>
          <w:b/>
        </w:rPr>
        <w:t>[2021_marzo, chunk 4, score 0.464]</w:t>
      </w:r>
    </w:p>
    <w:p>
      <w:r>
        <w:t>de productos volátiles como los combustibles y frutas y verdura s, además de la alta demanda que persiste sobre ciertos bienes. Ello, en un contexto en que la reposición de inventarios es aún desigual. La variación anual del IPC subyacente —sin volátiles— se ha mantenido estable respecto de diciembre. Respecto de las expectativas, a un año plazo, la mediana de la Encuesta de Expectativas Económicas (EEE) permanece en 3%, en tanto la Encuesta de Operadores Financieros (EOF) subió a 3,2%. A dos años plazo, ambas encuestas continúan en 3%. El Consejo considera que, si bien las perspectivas para la economía han mejorado, la convergencia de la inflación a la meta en el horizonte de política requiere que la política monetaria siga siendo altamente expansiva. Con esto, la TPM se mantendrá en su mínimo de 0,5% hasta que la recup eración de la economía se afiance y se vaya propagando a los componentes del gasto más rezagados, lo que aún tomará</w:t>
      </w:r>
    </w:p>
    <w:p>
      <w:r>
        <w:rPr>
          <w:b/>
        </w:rPr>
        <w:t>[2021_marzo, chunk 2, score 0.461]</w:t>
      </w:r>
    </w:p>
    <w:p>
      <w:r>
        <w:t>las colocaciones sostienen un bajo dinamismo en su conjunto. El flujo de crédito comercial ha mostrado algún repunte en lo más reciente, ligado a un mayor uso de la línea Fogape -Reactiva. Paralelamente, el monto ocupado de la FCIC3 asciende a cerca de 15% del total disponible. Las tasas de interés para las distintas categorías crediticias permanecen bajas en perspectiva histórica. En lo interno, los datos de fines del 2020 y comienzos del 2021 evidencian un crecimiento de la economía superior al previsto en el IPoM de diciembre. El comercio continuó siendo el sect or que muestra la mayor recuperación, seguido por la industria. Aunque a un ritmo más lento, los servicios y la construcción también se recuperaron respecto de sus peores niveles de mediados del año. En el mercado laboral se observó un aumento de las horas trabajadas y del empleo, aunque su evolución va rezagada respecto de la actividad. La aplicación de mayores restricciones sanitarias afectará el desempeño</w:t>
      </w:r>
    </w:p>
    <w:p>
      <w:r>
        <w:rPr>
          <w:b/>
        </w:rPr>
        <w:t>[2021_marzo, chunk 0, score 0.458]</w:t>
      </w:r>
    </w:p>
    <w:p>
      <w:r>
        <w:t>Martes 30 de marzo de 2021 Reunión de Política Monetaria – marzo 2021 En su Reunión de Política Monetaria, el Consejo del Banco Central de Chile acordó mantener la tasa de interés de política monetaria en 0,50%. Asimismo, no realizó cambios en las medidas no convencionales de apoyo a la liquidez y el crédito. La decisión fue adoptada por la unanimidad de sus miembros. En el plano externo, el cierre del 2020 mostró indicadores por sobre lo previsto, probablemente asociado a una mejor adaptación de la economía mundial a la pandemia, en un contexto en que la situación sanitaria es compleja en algunas regiones y el proceso de vacunación sigue avanzado a velocidades dispares entre países. Los estímulos monetarios y fiscales cont inúan siendo muy importantes. Destaca a este respecto, el paquete fiscal aprobado en EE.UU. hace unas se manas sobre el que se aprecia alguna preocupación por su magnitud y potencial efecto en la inflación. Los precios de las</w:t>
      </w:r>
    </w:p>
    <w:p>
      <w:r>
        <w:t>CONFIRMED RELEVANT CHUNK IDS: 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