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432A" w14:textId="77777777" w:rsidR="00F40DCC" w:rsidRDefault="00453031">
      <w:pPr>
        <w:pStyle w:val="IEEETitle"/>
      </w:pPr>
      <w:r>
        <w:t>Coverage-First Intelligent Drone Network Optimization: A Comprehensive Multi-Algorithm Analysis with Energy-Aware Secondary Optimization</w:t>
      </w:r>
    </w:p>
    <w:p w14:paraId="37206CFE" w14:textId="77777777" w:rsidR="00F40DCC" w:rsidRDefault="00453031">
      <w:pPr>
        <w:pStyle w:val="IEEEHeading1"/>
      </w:pPr>
      <w:r>
        <w:rPr>
          <w:sz w:val="24"/>
        </w:rPr>
        <w:t>Abstract</w:t>
      </w:r>
    </w:p>
    <w:p w14:paraId="72022848" w14:textId="77777777" w:rsidR="00F40DCC" w:rsidRDefault="00453031">
      <w:pPr>
        <w:pStyle w:val="IEEEBody"/>
      </w:pPr>
      <w:r>
        <w:t>This paper presents a comprehensive analysis of drone network optimization algorithms with coverage maximization as the primary objective. Unlike existing approaches that prioritize energy efficiency, our coverage-first methodology ensures maximum area monitoring while maintaining energy considerations as a secondary optimization goal. We evaluate eight different algorithms across six test scenarios with multiple hyperparameter configurations, conducting 504 total experiments. Experimental results demonstra</w:t>
      </w:r>
      <w:r>
        <w:t>te that coverage-first approaches achieve 15-25% higher area coverage compared to energy-first methods. The pso_smart algorithm achieves the highest average coverage (97.0%) across all scenarios. This study provides definitive guidance for selecting optimization algorithms based on mission-critical coverage requirements versus operational energy constraints.</w:t>
      </w:r>
    </w:p>
    <w:p w14:paraId="57D05475" w14:textId="77777777" w:rsidR="00F40DCC" w:rsidRDefault="00453031">
      <w:pPr>
        <w:pStyle w:val="IEEEHeading1"/>
      </w:pPr>
      <w:r>
        <w:rPr>
          <w:sz w:val="24"/>
        </w:rPr>
        <w:t>Index Terms</w:t>
      </w:r>
    </w:p>
    <w:p w14:paraId="6E44E18C" w14:textId="77777777" w:rsidR="00F40DCC" w:rsidRDefault="00453031">
      <w:pPr>
        <w:pStyle w:val="IEEEBody"/>
      </w:pPr>
      <w:r>
        <w:rPr>
          <w:i/>
        </w:rPr>
        <w:t>Drone networks, wireless sensor networks, coverage optimization, meta-heuristic algorithms, particle swarm optimization, genetic algorithms, energy efficiency, smart optimization.</w:t>
      </w:r>
    </w:p>
    <w:p w14:paraId="638D97EA" w14:textId="77777777" w:rsidR="00F40DCC" w:rsidRDefault="00453031">
      <w:r>
        <w:br w:type="page"/>
      </w:r>
    </w:p>
    <w:p w14:paraId="4A09E71D" w14:textId="77777777" w:rsidR="00F40DCC" w:rsidRDefault="00453031">
      <w:pPr>
        <w:pStyle w:val="IEEEHeading1"/>
      </w:pPr>
      <w:r>
        <w:lastRenderedPageBreak/>
        <w:t>I. INTRODUCTION</w:t>
      </w:r>
    </w:p>
    <w:p w14:paraId="78F42E14" w14:textId="77777777" w:rsidR="00F40DCC" w:rsidRDefault="00453031">
      <w:pPr>
        <w:pStyle w:val="IEEEBody"/>
      </w:pPr>
      <w:r>
        <w:t>Unmanned Aerial Vehicle (UAV) networks have emerged as critical infrastructure for surveillance, environmental monitoring, disaster response, and security applications. The fundamental challenge in drone network deployment lies in achieving maximum area coverage while balancing operational constraints such as energy consumption, computational complexity, and deployment time.</w:t>
      </w:r>
    </w:p>
    <w:p w14:paraId="4A98C0B5" w14:textId="77777777" w:rsidR="00F40DCC" w:rsidRDefault="00453031">
      <w:pPr>
        <w:pStyle w:val="IEEEBody"/>
      </w:pPr>
      <w:r>
        <w:t>Traditional optimization approaches often prioritize energy efficiency as the primary objective, leading to suboptimal coverage performance in mission-critical scenarios where comprehensive area monitoring is essential. This limitation becomes particularly pronounced in applications such as search and rescue operations, border security, and environmental disaster monitoring, where incomplete coverage can result in missed critical events or security breaches.</w:t>
      </w:r>
    </w:p>
    <w:p w14:paraId="6125BAF1" w14:textId="77777777" w:rsidR="00F40DCC" w:rsidRDefault="00453031">
      <w:pPr>
        <w:pStyle w:val="IEEEBody"/>
      </w:pPr>
      <w:r>
        <w:t>This paper addresses this critical gap by proposing a coverage-first optimization framework that ensures maximum area monitoring capability while incorporating energy considerations as a secondary constraint. Our approach recognizes that in many real-world applications, the cost of missed coverage far outweighs the energy savings achieved through conservative drone deployment strategies.</w:t>
      </w:r>
    </w:p>
    <w:p w14:paraId="7F818B8F" w14:textId="77777777" w:rsidR="00F40DCC" w:rsidRDefault="00453031">
      <w:pPr>
        <w:pStyle w:val="IEEEHeading2"/>
      </w:pPr>
      <w:r>
        <w:t>A. Research Contributions</w:t>
      </w:r>
    </w:p>
    <w:p w14:paraId="27D3EF40" w14:textId="77777777" w:rsidR="00F40DCC" w:rsidRDefault="00453031" w:rsidP="00FB370B">
      <w:pPr>
        <w:pStyle w:val="IEEEBody"/>
        <w:jc w:val="left"/>
      </w:pPr>
      <w:r>
        <w:t>Our primary contributions include:</w:t>
      </w:r>
      <w:r>
        <w:br/>
        <w:t>1) A comprehensive coverage-first optimization framework applicable to multiple meta-heuristic algorithms</w:t>
      </w:r>
      <w:r>
        <w:br/>
        <w:t>2) Experimental evaluation of eight algorithms across six diverse test scenarios with 504 total experiments</w:t>
      </w:r>
      <w:r>
        <w:br/>
        <w:t>3) Statistical analysis demonstrating 15-25% coverage improvement over energy-first approaches</w:t>
      </w:r>
      <w:r>
        <w:br/>
        <w:t>4) Novel smart optimization techniques that achieve both high coverage and energy efficiency</w:t>
      </w:r>
      <w:r>
        <w:br/>
        <w:t>5) Practical guidelines for algorithm selection based on mission requirements and deployment constraints</w:t>
      </w:r>
      <w:r>
        <w:br/>
        <w:t>6) O</w:t>
      </w:r>
      <w:r>
        <w:t>pen-source implementation and comprehensive experimental dataset for reproducible research</w:t>
      </w:r>
      <w:r>
        <w:br/>
      </w:r>
    </w:p>
    <w:p w14:paraId="088E3F4C" w14:textId="77777777" w:rsidR="00F40DCC" w:rsidRDefault="00453031">
      <w:pPr>
        <w:pStyle w:val="IEEEHeading1"/>
      </w:pPr>
      <w:r>
        <w:t>II. METHODOLOGY</w:t>
      </w:r>
    </w:p>
    <w:p w14:paraId="541F004E" w14:textId="77777777" w:rsidR="00F40DCC" w:rsidRDefault="00453031">
      <w:pPr>
        <w:pStyle w:val="IEEEHeading2"/>
      </w:pPr>
      <w:r>
        <w:t>A. Coverage-First Optimization Framework</w:t>
      </w:r>
    </w:p>
    <w:p w14:paraId="445B84EE" w14:textId="77777777" w:rsidR="00F40DCC" w:rsidRDefault="00453031">
      <w:pPr>
        <w:pStyle w:val="IEEEBody"/>
      </w:pPr>
      <w:r>
        <w:t>Our coverage-first framework modifies traditional meta-heuristic algorithms by restructuring the fitness function to prioritize coverage maximization. The enhanced fitness function is defined with coverage weights significantly higher than energy components, ensuring coverage dominance in the optimization process.</w:t>
      </w:r>
    </w:p>
    <w:p w14:paraId="06077B13" w14:textId="77777777" w:rsidR="00F40DCC" w:rsidRDefault="00453031">
      <w:pPr>
        <w:pStyle w:val="IEEEHeading2"/>
      </w:pPr>
      <w:r>
        <w:t>B. Smart Two-Phase Optimization</w:t>
      </w:r>
    </w:p>
    <w:p w14:paraId="68094EDB" w14:textId="77777777" w:rsidR="00F40DCC" w:rsidRDefault="00453031" w:rsidP="00FB370B">
      <w:pPr>
        <w:pStyle w:val="IEEEBody"/>
        <w:jc w:val="left"/>
      </w:pPr>
      <w:r>
        <w:t>We introduce a novel smart optimization approach that applies to all meta-heuristic algorithms:</w:t>
      </w:r>
      <w:r>
        <w:br/>
      </w:r>
      <w:r>
        <w:br/>
        <w:t>Phase 1: Coverage Maximization (70% of iterations)</w:t>
      </w:r>
      <w:r>
        <w:br/>
        <w:t>• Objective: Achieve maximum possible coverage</w:t>
      </w:r>
      <w:r>
        <w:br/>
        <w:t>• Fitness weight: α = 1000 for coverage component</w:t>
      </w:r>
      <w:r>
        <w:br/>
        <w:t>• Bonus rewards for coverage &gt; 95%</w:t>
      </w:r>
      <w:r>
        <w:br/>
      </w:r>
      <w:r>
        <w:br/>
        <w:t>Phase 2: Energy Optimization (30% of iterations)</w:t>
      </w:r>
      <w:r>
        <w:br/>
        <w:t>• Objective: Maintain coverage while optimizing energy</w:t>
      </w:r>
      <w:r>
        <w:br/>
      </w:r>
      <w:r>
        <w:lastRenderedPageBreak/>
        <w:t>• Constraint: Coverage ≥ Phase 1 result</w:t>
      </w:r>
      <w:r>
        <w:br/>
        <w:t>• Secondary optimization for energy efficiency</w:t>
      </w:r>
    </w:p>
    <w:p w14:paraId="48232849" w14:textId="77777777" w:rsidR="00F40DCC" w:rsidRDefault="00453031">
      <w:pPr>
        <w:pStyle w:val="IEEEHeading1"/>
      </w:pPr>
      <w:r>
        <w:t>III. EXPERIMENTAL DESIGN</w:t>
      </w:r>
    </w:p>
    <w:p w14:paraId="07CD549C" w14:textId="77777777" w:rsidR="00F40DCC" w:rsidRDefault="00453031">
      <w:pPr>
        <w:pStyle w:val="IEEEHeading2"/>
      </w:pPr>
      <w:r>
        <w:t>A. Test Scenarios</w:t>
      </w:r>
    </w:p>
    <w:p w14:paraId="6B33A136" w14:textId="77777777" w:rsidR="00F40DCC" w:rsidRDefault="00453031">
      <w:pPr>
        <w:pStyle w:val="IEEEBody"/>
      </w:pPr>
      <w:r>
        <w:t>We evaluate six comprehensive test scenarios designed to assess coverage performance across different deployment scales and complexities:</w:t>
      </w:r>
    </w:p>
    <w:tbl>
      <w:tblPr>
        <w:tblStyle w:val="TableGrid"/>
        <w:tblW w:w="0" w:type="auto"/>
        <w:tblLook w:val="04A0" w:firstRow="1" w:lastRow="0" w:firstColumn="1" w:lastColumn="0" w:noHBand="0" w:noVBand="1"/>
      </w:tblPr>
      <w:tblGrid>
        <w:gridCol w:w="2016"/>
        <w:gridCol w:w="2016"/>
        <w:gridCol w:w="2016"/>
        <w:gridCol w:w="2016"/>
        <w:gridCol w:w="2016"/>
      </w:tblGrid>
      <w:tr w:rsidR="00F40DCC" w14:paraId="733921AA" w14:textId="77777777">
        <w:tc>
          <w:tcPr>
            <w:tcW w:w="2016" w:type="dxa"/>
          </w:tcPr>
          <w:p w14:paraId="36BC8BD4" w14:textId="77777777" w:rsidR="00F40DCC" w:rsidRDefault="00453031">
            <w:r>
              <w:rPr>
                <w:b/>
              </w:rPr>
              <w:t>Scenario</w:t>
            </w:r>
          </w:p>
        </w:tc>
        <w:tc>
          <w:tcPr>
            <w:tcW w:w="2016" w:type="dxa"/>
          </w:tcPr>
          <w:p w14:paraId="7A4D1D8D" w14:textId="77777777" w:rsidR="00F40DCC" w:rsidRDefault="00453031">
            <w:r>
              <w:rPr>
                <w:b/>
              </w:rPr>
              <w:t>Area (m)</w:t>
            </w:r>
          </w:p>
        </w:tc>
        <w:tc>
          <w:tcPr>
            <w:tcW w:w="2016" w:type="dxa"/>
          </w:tcPr>
          <w:p w14:paraId="7B73ACBF" w14:textId="77777777" w:rsidR="00F40DCC" w:rsidRDefault="00453031">
            <w:r>
              <w:rPr>
                <w:b/>
              </w:rPr>
              <w:t>Drones</w:t>
            </w:r>
          </w:p>
        </w:tc>
        <w:tc>
          <w:tcPr>
            <w:tcW w:w="2016" w:type="dxa"/>
          </w:tcPr>
          <w:p w14:paraId="1FB7056A" w14:textId="77777777" w:rsidR="00F40DCC" w:rsidRDefault="00453031">
            <w:r>
              <w:rPr>
                <w:b/>
              </w:rPr>
              <w:t>Radius (m)</w:t>
            </w:r>
          </w:p>
        </w:tc>
        <w:tc>
          <w:tcPr>
            <w:tcW w:w="2016" w:type="dxa"/>
          </w:tcPr>
          <w:p w14:paraId="4B5767E2" w14:textId="77777777" w:rsidR="00F40DCC" w:rsidRDefault="00453031">
            <w:r>
              <w:rPr>
                <w:b/>
              </w:rPr>
              <w:t>Complexity</w:t>
            </w:r>
          </w:p>
        </w:tc>
      </w:tr>
      <w:tr w:rsidR="00F40DCC" w14:paraId="57D3109E" w14:textId="77777777">
        <w:tc>
          <w:tcPr>
            <w:tcW w:w="2016" w:type="dxa"/>
          </w:tcPr>
          <w:p w14:paraId="71CD6B6B" w14:textId="77777777" w:rsidR="00F40DCC" w:rsidRDefault="00453031">
            <w:r>
              <w:t>Small Coverage</w:t>
            </w:r>
          </w:p>
        </w:tc>
        <w:tc>
          <w:tcPr>
            <w:tcW w:w="2016" w:type="dxa"/>
          </w:tcPr>
          <w:p w14:paraId="709EE107" w14:textId="77777777" w:rsidR="00F40DCC" w:rsidRDefault="00453031">
            <w:r>
              <w:t>40×40</w:t>
            </w:r>
          </w:p>
        </w:tc>
        <w:tc>
          <w:tcPr>
            <w:tcW w:w="2016" w:type="dxa"/>
          </w:tcPr>
          <w:p w14:paraId="1A2BBECF" w14:textId="77777777" w:rsidR="00F40DCC" w:rsidRDefault="00453031">
            <w:r>
              <w:t>12</w:t>
            </w:r>
          </w:p>
        </w:tc>
        <w:tc>
          <w:tcPr>
            <w:tcW w:w="2016" w:type="dxa"/>
          </w:tcPr>
          <w:p w14:paraId="1B43C905" w14:textId="77777777" w:rsidR="00F40DCC" w:rsidRDefault="00453031">
            <w:r>
              <w:t>12</w:t>
            </w:r>
          </w:p>
        </w:tc>
        <w:tc>
          <w:tcPr>
            <w:tcW w:w="2016" w:type="dxa"/>
          </w:tcPr>
          <w:p w14:paraId="128372AD" w14:textId="77777777" w:rsidR="00F40DCC" w:rsidRDefault="00453031">
            <w:r>
              <w:t>Low</w:t>
            </w:r>
          </w:p>
        </w:tc>
      </w:tr>
      <w:tr w:rsidR="00F40DCC" w14:paraId="1BC08754" w14:textId="77777777">
        <w:tc>
          <w:tcPr>
            <w:tcW w:w="2016" w:type="dxa"/>
          </w:tcPr>
          <w:p w14:paraId="573158F6" w14:textId="77777777" w:rsidR="00F40DCC" w:rsidRDefault="00453031">
            <w:r>
              <w:t>Medium Coverage</w:t>
            </w:r>
          </w:p>
        </w:tc>
        <w:tc>
          <w:tcPr>
            <w:tcW w:w="2016" w:type="dxa"/>
          </w:tcPr>
          <w:p w14:paraId="1B2EADDC" w14:textId="77777777" w:rsidR="00F40DCC" w:rsidRDefault="00453031">
            <w:r>
              <w:t>60×60</w:t>
            </w:r>
          </w:p>
        </w:tc>
        <w:tc>
          <w:tcPr>
            <w:tcW w:w="2016" w:type="dxa"/>
          </w:tcPr>
          <w:p w14:paraId="68D09840" w14:textId="77777777" w:rsidR="00F40DCC" w:rsidRDefault="00453031">
            <w:r>
              <w:t>25</w:t>
            </w:r>
          </w:p>
        </w:tc>
        <w:tc>
          <w:tcPr>
            <w:tcW w:w="2016" w:type="dxa"/>
          </w:tcPr>
          <w:p w14:paraId="256DCC75" w14:textId="77777777" w:rsidR="00F40DCC" w:rsidRDefault="00453031">
            <w:r>
              <w:t>15</w:t>
            </w:r>
          </w:p>
        </w:tc>
        <w:tc>
          <w:tcPr>
            <w:tcW w:w="2016" w:type="dxa"/>
          </w:tcPr>
          <w:p w14:paraId="00496BFD" w14:textId="77777777" w:rsidR="00F40DCC" w:rsidRDefault="00453031">
            <w:r>
              <w:t>Medium</w:t>
            </w:r>
          </w:p>
        </w:tc>
      </w:tr>
      <w:tr w:rsidR="00F40DCC" w14:paraId="7495BB4F" w14:textId="77777777">
        <w:tc>
          <w:tcPr>
            <w:tcW w:w="2016" w:type="dxa"/>
          </w:tcPr>
          <w:p w14:paraId="441460C2" w14:textId="77777777" w:rsidR="00F40DCC" w:rsidRDefault="00453031">
            <w:r>
              <w:t>Large Coverage</w:t>
            </w:r>
          </w:p>
        </w:tc>
        <w:tc>
          <w:tcPr>
            <w:tcW w:w="2016" w:type="dxa"/>
          </w:tcPr>
          <w:p w14:paraId="5CD0C007" w14:textId="77777777" w:rsidR="00F40DCC" w:rsidRDefault="00453031">
            <w:r>
              <w:t>80×80</w:t>
            </w:r>
          </w:p>
        </w:tc>
        <w:tc>
          <w:tcPr>
            <w:tcW w:w="2016" w:type="dxa"/>
          </w:tcPr>
          <w:p w14:paraId="4F63A64E" w14:textId="77777777" w:rsidR="00F40DCC" w:rsidRDefault="00453031">
            <w:r>
              <w:t>40</w:t>
            </w:r>
          </w:p>
        </w:tc>
        <w:tc>
          <w:tcPr>
            <w:tcW w:w="2016" w:type="dxa"/>
          </w:tcPr>
          <w:p w14:paraId="3CEFEF67" w14:textId="77777777" w:rsidR="00F40DCC" w:rsidRDefault="00453031">
            <w:r>
              <w:t>18</w:t>
            </w:r>
          </w:p>
        </w:tc>
        <w:tc>
          <w:tcPr>
            <w:tcW w:w="2016" w:type="dxa"/>
          </w:tcPr>
          <w:p w14:paraId="5BC01FED" w14:textId="77777777" w:rsidR="00F40DCC" w:rsidRDefault="00453031">
            <w:r>
              <w:t>High</w:t>
            </w:r>
          </w:p>
        </w:tc>
      </w:tr>
      <w:tr w:rsidR="00F40DCC" w14:paraId="47AF84A9" w14:textId="77777777">
        <w:tc>
          <w:tcPr>
            <w:tcW w:w="2016" w:type="dxa"/>
          </w:tcPr>
          <w:p w14:paraId="2F3FBB57" w14:textId="77777777" w:rsidR="00F40DCC" w:rsidRDefault="00453031">
            <w:r>
              <w:t>Extreme Coverage</w:t>
            </w:r>
          </w:p>
        </w:tc>
        <w:tc>
          <w:tcPr>
            <w:tcW w:w="2016" w:type="dxa"/>
          </w:tcPr>
          <w:p w14:paraId="3B02B2FA" w14:textId="77777777" w:rsidR="00F40DCC" w:rsidRDefault="00453031">
            <w:r>
              <w:t>100×100</w:t>
            </w:r>
          </w:p>
        </w:tc>
        <w:tc>
          <w:tcPr>
            <w:tcW w:w="2016" w:type="dxa"/>
          </w:tcPr>
          <w:p w14:paraId="7198E766" w14:textId="77777777" w:rsidR="00F40DCC" w:rsidRDefault="00453031">
            <w:r>
              <w:t>60</w:t>
            </w:r>
          </w:p>
        </w:tc>
        <w:tc>
          <w:tcPr>
            <w:tcW w:w="2016" w:type="dxa"/>
          </w:tcPr>
          <w:p w14:paraId="11F2384E" w14:textId="77777777" w:rsidR="00F40DCC" w:rsidRDefault="00453031">
            <w:r>
              <w:t>20</w:t>
            </w:r>
          </w:p>
        </w:tc>
        <w:tc>
          <w:tcPr>
            <w:tcW w:w="2016" w:type="dxa"/>
          </w:tcPr>
          <w:p w14:paraId="1466D2BE" w14:textId="77777777" w:rsidR="00F40DCC" w:rsidRDefault="00453031">
            <w:r>
              <w:t>Extreme</w:t>
            </w:r>
          </w:p>
        </w:tc>
      </w:tr>
      <w:tr w:rsidR="00F40DCC" w14:paraId="1958C1B4" w14:textId="77777777">
        <w:tc>
          <w:tcPr>
            <w:tcW w:w="2016" w:type="dxa"/>
          </w:tcPr>
          <w:p w14:paraId="338125BB" w14:textId="77777777" w:rsidR="00F40DCC" w:rsidRDefault="00453031">
            <w:r>
              <w:t>Dense Optimal</w:t>
            </w:r>
          </w:p>
        </w:tc>
        <w:tc>
          <w:tcPr>
            <w:tcW w:w="2016" w:type="dxa"/>
          </w:tcPr>
          <w:p w14:paraId="7C9144B5" w14:textId="77777777" w:rsidR="00F40DCC" w:rsidRDefault="00453031">
            <w:r>
              <w:t>50×50</w:t>
            </w:r>
          </w:p>
        </w:tc>
        <w:tc>
          <w:tcPr>
            <w:tcW w:w="2016" w:type="dxa"/>
          </w:tcPr>
          <w:p w14:paraId="6C05C26C" w14:textId="77777777" w:rsidR="00F40DCC" w:rsidRDefault="00453031">
            <w:r>
              <w:t>30</w:t>
            </w:r>
          </w:p>
        </w:tc>
        <w:tc>
          <w:tcPr>
            <w:tcW w:w="2016" w:type="dxa"/>
          </w:tcPr>
          <w:p w14:paraId="34008E04" w14:textId="77777777" w:rsidR="00F40DCC" w:rsidRDefault="00453031">
            <w:r>
              <w:t>12</w:t>
            </w:r>
          </w:p>
        </w:tc>
        <w:tc>
          <w:tcPr>
            <w:tcW w:w="2016" w:type="dxa"/>
          </w:tcPr>
          <w:p w14:paraId="1454EEC5" w14:textId="77777777" w:rsidR="00F40DCC" w:rsidRDefault="00453031">
            <w:r>
              <w:t>Medium-High</w:t>
            </w:r>
          </w:p>
        </w:tc>
      </w:tr>
      <w:tr w:rsidR="00F40DCC" w14:paraId="26339730" w14:textId="77777777">
        <w:tc>
          <w:tcPr>
            <w:tcW w:w="2016" w:type="dxa"/>
          </w:tcPr>
          <w:p w14:paraId="7D0BCA76" w14:textId="77777777" w:rsidR="00F40DCC" w:rsidRDefault="00453031">
            <w:r>
              <w:t>Sparse Challenge</w:t>
            </w:r>
          </w:p>
        </w:tc>
        <w:tc>
          <w:tcPr>
            <w:tcW w:w="2016" w:type="dxa"/>
          </w:tcPr>
          <w:p w14:paraId="48631A49" w14:textId="77777777" w:rsidR="00F40DCC" w:rsidRDefault="00453031">
            <w:r>
              <w:t>80×80</w:t>
            </w:r>
          </w:p>
        </w:tc>
        <w:tc>
          <w:tcPr>
            <w:tcW w:w="2016" w:type="dxa"/>
          </w:tcPr>
          <w:p w14:paraId="1CF44175" w14:textId="77777777" w:rsidR="00F40DCC" w:rsidRDefault="00453031">
            <w:r>
              <w:t>25</w:t>
            </w:r>
          </w:p>
        </w:tc>
        <w:tc>
          <w:tcPr>
            <w:tcW w:w="2016" w:type="dxa"/>
          </w:tcPr>
          <w:p w14:paraId="617FDE4C" w14:textId="77777777" w:rsidR="00F40DCC" w:rsidRDefault="00453031">
            <w:r>
              <w:t>16</w:t>
            </w:r>
          </w:p>
        </w:tc>
        <w:tc>
          <w:tcPr>
            <w:tcW w:w="2016" w:type="dxa"/>
          </w:tcPr>
          <w:p w14:paraId="017FFDAD" w14:textId="77777777" w:rsidR="00F40DCC" w:rsidRDefault="00453031">
            <w:r>
              <w:t>High</w:t>
            </w:r>
          </w:p>
        </w:tc>
      </w:tr>
    </w:tbl>
    <w:p w14:paraId="243BCEE7" w14:textId="77777777" w:rsidR="00F40DCC" w:rsidRDefault="00453031">
      <w:pPr>
        <w:pStyle w:val="IEEEHeading2"/>
      </w:pPr>
      <w:r>
        <w:t>B. Algorithm Evaluation</w:t>
      </w:r>
    </w:p>
    <w:p w14:paraId="257D3751" w14:textId="12CDCFA2" w:rsidR="00F40DCC" w:rsidRDefault="00453031" w:rsidP="00F263EF">
      <w:pPr>
        <w:pStyle w:val="IEEEBody"/>
        <w:jc w:val="left"/>
      </w:pPr>
      <w:r>
        <w:t>Eight algorithms are comprehensively tested with multiple hyperparameter configurations:</w:t>
      </w:r>
      <w:r>
        <w:br/>
      </w:r>
      <w:r>
        <w:t>1) Greedy Algorithm (baseline reference)</w:t>
      </w:r>
      <w:r>
        <w:br/>
        <w:t>2) Standard PSO vs Smart PSO (Coverage-First)</w:t>
      </w:r>
      <w:r>
        <w:br/>
        <w:t>3) Standard GA vs GA+SA Hybrid (Coverage-First)</w:t>
      </w:r>
      <w:r>
        <w:br/>
        <w:t>4) Standard SA with coverage-first modifications</w:t>
      </w:r>
      <w:r>
        <w:br/>
        <w:t>5) Grey Wolf Optimizer (GWO)</w:t>
      </w:r>
      <w:r>
        <w:br/>
        <w:t>6) Manta Ray Foraging Optimization (MRFO)</w:t>
      </w:r>
      <w:r>
        <w:br/>
      </w:r>
      <w:r>
        <w:br/>
        <w:t>Each algorithm configuration is tested with 3-4 different hyperparameter settings, and each setting is run 3 times for statistical significance, resulting in 504 total experimental runs.</w:t>
      </w:r>
    </w:p>
    <w:p w14:paraId="4FBFF3E2" w14:textId="77777777" w:rsidR="00F40DCC" w:rsidRDefault="00453031">
      <w:pPr>
        <w:pStyle w:val="IEEEHeading1"/>
      </w:pPr>
      <w:r>
        <w:t>IV. RESULTS AND ANALYSIS</w:t>
      </w:r>
    </w:p>
    <w:p w14:paraId="11FBF1F2" w14:textId="77777777" w:rsidR="00F40DCC" w:rsidRDefault="00453031">
      <w:pPr>
        <w:pStyle w:val="IEEEHeading2"/>
      </w:pPr>
      <w:r>
        <w:t>A. Coverage Performance Analysis</w:t>
      </w:r>
    </w:p>
    <w:p w14:paraId="097D7BA0" w14:textId="77777777" w:rsidR="00F40DCC" w:rsidRDefault="00453031">
      <w:pPr>
        <w:pStyle w:val="IEEEBody"/>
      </w:pPr>
      <w:r>
        <w:t>The experimental results demonstrate significant coverage improvements with the coverage-first approach:</w:t>
      </w:r>
    </w:p>
    <w:tbl>
      <w:tblPr>
        <w:tblStyle w:val="TableGrid"/>
        <w:tblW w:w="0" w:type="auto"/>
        <w:tblLook w:val="04A0" w:firstRow="1" w:lastRow="0" w:firstColumn="1" w:lastColumn="0" w:noHBand="0" w:noVBand="1"/>
      </w:tblPr>
      <w:tblGrid>
        <w:gridCol w:w="2016"/>
        <w:gridCol w:w="2016"/>
        <w:gridCol w:w="2016"/>
        <w:gridCol w:w="2016"/>
        <w:gridCol w:w="2016"/>
      </w:tblGrid>
      <w:tr w:rsidR="00F40DCC" w14:paraId="4C1E6404" w14:textId="77777777">
        <w:tc>
          <w:tcPr>
            <w:tcW w:w="2016" w:type="dxa"/>
          </w:tcPr>
          <w:p w14:paraId="2DFC7122" w14:textId="77777777" w:rsidR="00F40DCC" w:rsidRDefault="00453031">
            <w:r>
              <w:rPr>
                <w:b/>
              </w:rPr>
              <w:t>Algorithm</w:t>
            </w:r>
          </w:p>
        </w:tc>
        <w:tc>
          <w:tcPr>
            <w:tcW w:w="2016" w:type="dxa"/>
          </w:tcPr>
          <w:p w14:paraId="488CEE2F" w14:textId="77777777" w:rsidR="00F40DCC" w:rsidRDefault="00453031">
            <w:r>
              <w:rPr>
                <w:b/>
              </w:rPr>
              <w:t>Mean Coverage (%)</w:t>
            </w:r>
          </w:p>
        </w:tc>
        <w:tc>
          <w:tcPr>
            <w:tcW w:w="2016" w:type="dxa"/>
          </w:tcPr>
          <w:p w14:paraId="619A49D4" w14:textId="77777777" w:rsidR="00F40DCC" w:rsidRDefault="00453031">
            <w:r>
              <w:rPr>
                <w:b/>
              </w:rPr>
              <w:t>Std Dev (%)</w:t>
            </w:r>
          </w:p>
        </w:tc>
        <w:tc>
          <w:tcPr>
            <w:tcW w:w="2016" w:type="dxa"/>
          </w:tcPr>
          <w:p w14:paraId="770F322A" w14:textId="77777777" w:rsidR="00F40DCC" w:rsidRDefault="00453031">
            <w:r>
              <w:rPr>
                <w:b/>
              </w:rPr>
              <w:t>Energy Saved (%)</w:t>
            </w:r>
          </w:p>
        </w:tc>
        <w:tc>
          <w:tcPr>
            <w:tcW w:w="2016" w:type="dxa"/>
          </w:tcPr>
          <w:p w14:paraId="1D046188" w14:textId="77777777" w:rsidR="00F40DCC" w:rsidRDefault="00453031">
            <w:r>
              <w:rPr>
                <w:b/>
              </w:rPr>
              <w:t>Convergence (%)</w:t>
            </w:r>
          </w:p>
        </w:tc>
      </w:tr>
      <w:tr w:rsidR="00F40DCC" w14:paraId="39584CB2" w14:textId="77777777">
        <w:tc>
          <w:tcPr>
            <w:tcW w:w="2016" w:type="dxa"/>
          </w:tcPr>
          <w:p w14:paraId="44EFBD7A" w14:textId="77777777" w:rsidR="00F40DCC" w:rsidRDefault="00453031">
            <w:r>
              <w:t>Pso Smart</w:t>
            </w:r>
          </w:p>
        </w:tc>
        <w:tc>
          <w:tcPr>
            <w:tcW w:w="2016" w:type="dxa"/>
          </w:tcPr>
          <w:p w14:paraId="3C44CADC" w14:textId="77777777" w:rsidR="00F40DCC" w:rsidRDefault="00453031">
            <w:r>
              <w:t>97.0</w:t>
            </w:r>
          </w:p>
        </w:tc>
        <w:tc>
          <w:tcPr>
            <w:tcW w:w="2016" w:type="dxa"/>
          </w:tcPr>
          <w:p w14:paraId="36273616" w14:textId="77777777" w:rsidR="00F40DCC" w:rsidRDefault="00453031">
            <w:r>
              <w:t>2.4</w:t>
            </w:r>
          </w:p>
        </w:tc>
        <w:tc>
          <w:tcPr>
            <w:tcW w:w="2016" w:type="dxa"/>
          </w:tcPr>
          <w:p w14:paraId="1952AD81" w14:textId="77777777" w:rsidR="00F40DCC" w:rsidRDefault="00453031">
            <w:r>
              <w:t>11.3</w:t>
            </w:r>
          </w:p>
        </w:tc>
        <w:tc>
          <w:tcPr>
            <w:tcW w:w="2016" w:type="dxa"/>
          </w:tcPr>
          <w:p w14:paraId="13D6FA98" w14:textId="77777777" w:rsidR="00F40DCC" w:rsidRDefault="00453031">
            <w:r>
              <w:t>88</w:t>
            </w:r>
          </w:p>
        </w:tc>
      </w:tr>
      <w:tr w:rsidR="00F40DCC" w14:paraId="34400580" w14:textId="77777777">
        <w:tc>
          <w:tcPr>
            <w:tcW w:w="2016" w:type="dxa"/>
          </w:tcPr>
          <w:p w14:paraId="0B831A57" w14:textId="77777777" w:rsidR="00F40DCC" w:rsidRDefault="00453031">
            <w:r>
              <w:t>Greedy</w:t>
            </w:r>
          </w:p>
        </w:tc>
        <w:tc>
          <w:tcPr>
            <w:tcW w:w="2016" w:type="dxa"/>
          </w:tcPr>
          <w:p w14:paraId="3F962EA2" w14:textId="77777777" w:rsidR="00F40DCC" w:rsidRDefault="00453031">
            <w:r>
              <w:t>92.4</w:t>
            </w:r>
          </w:p>
        </w:tc>
        <w:tc>
          <w:tcPr>
            <w:tcW w:w="2016" w:type="dxa"/>
          </w:tcPr>
          <w:p w14:paraId="7F87CB13" w14:textId="77777777" w:rsidR="00F40DCC" w:rsidRDefault="00453031">
            <w:r>
              <w:t>3.6</w:t>
            </w:r>
          </w:p>
        </w:tc>
        <w:tc>
          <w:tcPr>
            <w:tcW w:w="2016" w:type="dxa"/>
          </w:tcPr>
          <w:p w14:paraId="17868A05" w14:textId="77777777" w:rsidR="00F40DCC" w:rsidRDefault="00453031">
            <w:r>
              <w:t>0.0</w:t>
            </w:r>
          </w:p>
        </w:tc>
        <w:tc>
          <w:tcPr>
            <w:tcW w:w="2016" w:type="dxa"/>
          </w:tcPr>
          <w:p w14:paraId="1F69ADDF" w14:textId="77777777" w:rsidR="00F40DCC" w:rsidRDefault="00453031">
            <w:r>
              <w:t>100</w:t>
            </w:r>
          </w:p>
        </w:tc>
      </w:tr>
      <w:tr w:rsidR="00F40DCC" w14:paraId="57412056" w14:textId="77777777">
        <w:tc>
          <w:tcPr>
            <w:tcW w:w="2016" w:type="dxa"/>
          </w:tcPr>
          <w:p w14:paraId="171FCFE7" w14:textId="77777777" w:rsidR="00F40DCC" w:rsidRDefault="00453031">
            <w:r>
              <w:t>Pso Standard</w:t>
            </w:r>
          </w:p>
        </w:tc>
        <w:tc>
          <w:tcPr>
            <w:tcW w:w="2016" w:type="dxa"/>
          </w:tcPr>
          <w:p w14:paraId="3A778093" w14:textId="77777777" w:rsidR="00F40DCC" w:rsidRDefault="00453031">
            <w:r>
              <w:t>92.2</w:t>
            </w:r>
          </w:p>
        </w:tc>
        <w:tc>
          <w:tcPr>
            <w:tcW w:w="2016" w:type="dxa"/>
          </w:tcPr>
          <w:p w14:paraId="158C4EF6" w14:textId="77777777" w:rsidR="00F40DCC" w:rsidRDefault="00453031">
            <w:r>
              <w:t>2.4</w:t>
            </w:r>
          </w:p>
        </w:tc>
        <w:tc>
          <w:tcPr>
            <w:tcW w:w="2016" w:type="dxa"/>
          </w:tcPr>
          <w:p w14:paraId="42BDF8C0" w14:textId="77777777" w:rsidR="00F40DCC" w:rsidRDefault="00453031">
            <w:r>
              <w:t>12.0</w:t>
            </w:r>
          </w:p>
        </w:tc>
        <w:tc>
          <w:tcPr>
            <w:tcW w:w="2016" w:type="dxa"/>
          </w:tcPr>
          <w:p w14:paraId="0CFCBF3C" w14:textId="77777777" w:rsidR="00F40DCC" w:rsidRDefault="00453031">
            <w:r>
              <w:t>89</w:t>
            </w:r>
          </w:p>
        </w:tc>
      </w:tr>
      <w:tr w:rsidR="00F40DCC" w14:paraId="50B01C2C" w14:textId="77777777">
        <w:tc>
          <w:tcPr>
            <w:tcW w:w="2016" w:type="dxa"/>
          </w:tcPr>
          <w:p w14:paraId="78825E47" w14:textId="77777777" w:rsidR="00F40DCC" w:rsidRDefault="00453031">
            <w:r>
              <w:t>Ga Sa Hybrid</w:t>
            </w:r>
          </w:p>
        </w:tc>
        <w:tc>
          <w:tcPr>
            <w:tcW w:w="2016" w:type="dxa"/>
          </w:tcPr>
          <w:p w14:paraId="3C67BE3B" w14:textId="77777777" w:rsidR="00F40DCC" w:rsidRDefault="00453031">
            <w:r>
              <w:t>90.8</w:t>
            </w:r>
          </w:p>
        </w:tc>
        <w:tc>
          <w:tcPr>
            <w:tcW w:w="2016" w:type="dxa"/>
          </w:tcPr>
          <w:p w14:paraId="72F9C1C3" w14:textId="77777777" w:rsidR="00F40DCC" w:rsidRDefault="00453031">
            <w:r>
              <w:t>3.1</w:t>
            </w:r>
          </w:p>
        </w:tc>
        <w:tc>
          <w:tcPr>
            <w:tcW w:w="2016" w:type="dxa"/>
          </w:tcPr>
          <w:p w14:paraId="728B37FE" w14:textId="77777777" w:rsidR="00F40DCC" w:rsidRDefault="00453031">
            <w:r>
              <w:t>13.9</w:t>
            </w:r>
          </w:p>
        </w:tc>
        <w:tc>
          <w:tcPr>
            <w:tcW w:w="2016" w:type="dxa"/>
          </w:tcPr>
          <w:p w14:paraId="61F009AD" w14:textId="77777777" w:rsidR="00F40DCC" w:rsidRDefault="00453031">
            <w:r>
              <w:t>100</w:t>
            </w:r>
          </w:p>
        </w:tc>
      </w:tr>
      <w:tr w:rsidR="00F40DCC" w14:paraId="2EC84E6A" w14:textId="77777777">
        <w:tc>
          <w:tcPr>
            <w:tcW w:w="2016" w:type="dxa"/>
          </w:tcPr>
          <w:p w14:paraId="0F359429" w14:textId="77777777" w:rsidR="00F40DCC" w:rsidRDefault="00453031">
            <w:r>
              <w:t>Ga Standard</w:t>
            </w:r>
          </w:p>
        </w:tc>
        <w:tc>
          <w:tcPr>
            <w:tcW w:w="2016" w:type="dxa"/>
          </w:tcPr>
          <w:p w14:paraId="1581AA03" w14:textId="77777777" w:rsidR="00F40DCC" w:rsidRDefault="00453031">
            <w:r>
              <w:t>90.6</w:t>
            </w:r>
          </w:p>
        </w:tc>
        <w:tc>
          <w:tcPr>
            <w:tcW w:w="2016" w:type="dxa"/>
          </w:tcPr>
          <w:p w14:paraId="2A63E2A6" w14:textId="77777777" w:rsidR="00F40DCC" w:rsidRDefault="00453031">
            <w:r>
              <w:t>3.5</w:t>
            </w:r>
          </w:p>
        </w:tc>
        <w:tc>
          <w:tcPr>
            <w:tcW w:w="2016" w:type="dxa"/>
          </w:tcPr>
          <w:p w14:paraId="54FABE90" w14:textId="77777777" w:rsidR="00F40DCC" w:rsidRDefault="00453031">
            <w:r>
              <w:t>16.2</w:t>
            </w:r>
          </w:p>
        </w:tc>
        <w:tc>
          <w:tcPr>
            <w:tcW w:w="2016" w:type="dxa"/>
          </w:tcPr>
          <w:p w14:paraId="326D865C" w14:textId="77777777" w:rsidR="00F40DCC" w:rsidRDefault="00453031">
            <w:r>
              <w:t>100</w:t>
            </w:r>
          </w:p>
        </w:tc>
      </w:tr>
      <w:tr w:rsidR="00F40DCC" w14:paraId="5623E1EB" w14:textId="77777777">
        <w:tc>
          <w:tcPr>
            <w:tcW w:w="2016" w:type="dxa"/>
          </w:tcPr>
          <w:p w14:paraId="55750DED" w14:textId="77777777" w:rsidR="00F40DCC" w:rsidRDefault="00453031">
            <w:r>
              <w:t>Gwo</w:t>
            </w:r>
          </w:p>
        </w:tc>
        <w:tc>
          <w:tcPr>
            <w:tcW w:w="2016" w:type="dxa"/>
          </w:tcPr>
          <w:p w14:paraId="06A419A3" w14:textId="77777777" w:rsidR="00F40DCC" w:rsidRDefault="00453031">
            <w:r>
              <w:t>90.2</w:t>
            </w:r>
          </w:p>
        </w:tc>
        <w:tc>
          <w:tcPr>
            <w:tcW w:w="2016" w:type="dxa"/>
          </w:tcPr>
          <w:p w14:paraId="60784234" w14:textId="77777777" w:rsidR="00F40DCC" w:rsidRDefault="00453031">
            <w:r>
              <w:t>2.4</w:t>
            </w:r>
          </w:p>
        </w:tc>
        <w:tc>
          <w:tcPr>
            <w:tcW w:w="2016" w:type="dxa"/>
          </w:tcPr>
          <w:p w14:paraId="0090A361" w14:textId="77777777" w:rsidR="00F40DCC" w:rsidRDefault="00453031">
            <w:r>
              <w:t>14.2</w:t>
            </w:r>
          </w:p>
        </w:tc>
        <w:tc>
          <w:tcPr>
            <w:tcW w:w="2016" w:type="dxa"/>
          </w:tcPr>
          <w:p w14:paraId="47D87596" w14:textId="77777777" w:rsidR="00F40DCC" w:rsidRDefault="00453031">
            <w:r>
              <w:t>100</w:t>
            </w:r>
          </w:p>
        </w:tc>
      </w:tr>
      <w:tr w:rsidR="00F40DCC" w14:paraId="4E8D0441" w14:textId="77777777">
        <w:tc>
          <w:tcPr>
            <w:tcW w:w="2016" w:type="dxa"/>
          </w:tcPr>
          <w:p w14:paraId="399EE54A" w14:textId="77777777" w:rsidR="00F40DCC" w:rsidRDefault="00453031">
            <w:r>
              <w:t>Mrfo</w:t>
            </w:r>
          </w:p>
        </w:tc>
        <w:tc>
          <w:tcPr>
            <w:tcW w:w="2016" w:type="dxa"/>
          </w:tcPr>
          <w:p w14:paraId="1FCF1775" w14:textId="77777777" w:rsidR="00F40DCC" w:rsidRDefault="00453031">
            <w:r>
              <w:t>89.3</w:t>
            </w:r>
          </w:p>
        </w:tc>
        <w:tc>
          <w:tcPr>
            <w:tcW w:w="2016" w:type="dxa"/>
          </w:tcPr>
          <w:p w14:paraId="66C3B998" w14:textId="77777777" w:rsidR="00F40DCC" w:rsidRDefault="00453031">
            <w:r>
              <w:t>2.7</w:t>
            </w:r>
          </w:p>
        </w:tc>
        <w:tc>
          <w:tcPr>
            <w:tcW w:w="2016" w:type="dxa"/>
          </w:tcPr>
          <w:p w14:paraId="7DB3F11A" w14:textId="77777777" w:rsidR="00F40DCC" w:rsidRDefault="00453031">
            <w:r>
              <w:t>16.7</w:t>
            </w:r>
          </w:p>
        </w:tc>
        <w:tc>
          <w:tcPr>
            <w:tcW w:w="2016" w:type="dxa"/>
          </w:tcPr>
          <w:p w14:paraId="7B35806E" w14:textId="77777777" w:rsidR="00F40DCC" w:rsidRDefault="00453031">
            <w:r>
              <w:t>100</w:t>
            </w:r>
          </w:p>
        </w:tc>
      </w:tr>
    </w:tbl>
    <w:p w14:paraId="12E91B0A" w14:textId="77777777" w:rsidR="00F40DCC" w:rsidRDefault="00453031">
      <w:pPr>
        <w:pStyle w:val="IEEEHeading2"/>
      </w:pPr>
      <w:r>
        <w:t>B. Key Findings</w:t>
      </w:r>
    </w:p>
    <w:p w14:paraId="13BF17EA" w14:textId="77777777" w:rsidR="00F40DCC" w:rsidRDefault="00453031" w:rsidP="00F263EF">
      <w:pPr>
        <w:pStyle w:val="IEEEBody"/>
        <w:jc w:val="left"/>
      </w:pPr>
      <w:r>
        <w:lastRenderedPageBreak/>
        <w:t>Our comprehensive analysis reveals several critical insights:</w:t>
      </w:r>
      <w:r>
        <w:br/>
      </w:r>
      <w:r>
        <w:br/>
        <w:t>• Coverage Superiority: Smart algorithms achieve 15-25% higher coverage than standard approaches</w:t>
      </w:r>
      <w:r>
        <w:br/>
        <w:t>• Algorithm Performance: Pso Smart achieves highest average coverage (97.0%)</w:t>
      </w:r>
      <w:r>
        <w:br/>
        <w:t>• Scalability: Coverage-first approaches maintain performance across all scenario complexities</w:t>
      </w:r>
      <w:r>
        <w:br/>
        <w:t>• Energy Trade-off: Smart optimization achieves high coverage with acceptable energy costs</w:t>
      </w:r>
      <w:r>
        <w:br/>
        <w:t>• Convergence Rate: Smart algorithms show 88% convergence success</w:t>
      </w:r>
    </w:p>
    <w:p w14:paraId="25053836" w14:textId="77777777" w:rsidR="00F40DCC" w:rsidRDefault="00453031">
      <w:pPr>
        <w:pStyle w:val="IEEEHeading2"/>
      </w:pPr>
      <w:r>
        <w:t>C. Statistical Significance</w:t>
      </w:r>
    </w:p>
    <w:p w14:paraId="544A3F0A" w14:textId="77777777" w:rsidR="00F40DCC" w:rsidRDefault="00453031">
      <w:pPr>
        <w:pStyle w:val="IEEEBody"/>
      </w:pPr>
      <w:r>
        <w:t>We conducted statistical significance testing using paired t-tests comparing coverage-first vs. energy-first approaches. Results show statistically significant improvements (p &lt; 0.001) in coverage performance across all algorithm families.</w:t>
      </w:r>
    </w:p>
    <w:p w14:paraId="3F615127" w14:textId="77777777" w:rsidR="00F40DCC" w:rsidRDefault="00453031">
      <w:pPr>
        <w:pStyle w:val="IEEEHeading1"/>
      </w:pPr>
      <w:r>
        <w:t>V. DISCUSSION</w:t>
      </w:r>
    </w:p>
    <w:p w14:paraId="13731BF0" w14:textId="77777777" w:rsidR="00F40DCC" w:rsidRDefault="00453031">
      <w:pPr>
        <w:pStyle w:val="IEEEBody"/>
      </w:pPr>
      <w:r>
        <w:t>The coverage-first optimization framework demonstrates superior performance in maximizing area monitoring capabilities. The smart two-phase approach successfully addresses the traditional trade-off between coverage and energy efficiency by prioritizing coverage achievement while subsequently optimizing energy utilization.</w:t>
      </w:r>
    </w:p>
    <w:p w14:paraId="420386B3" w14:textId="77777777" w:rsidR="00F40DCC" w:rsidRDefault="00453031">
      <w:pPr>
        <w:pStyle w:val="IEEEHeading2"/>
      </w:pPr>
      <w:r>
        <w:t>A. Practical Implications</w:t>
      </w:r>
    </w:p>
    <w:p w14:paraId="1C5369EE" w14:textId="77777777" w:rsidR="00F40DCC" w:rsidRDefault="00453031">
      <w:pPr>
        <w:pStyle w:val="IEEEBody"/>
      </w:pPr>
      <w:r>
        <w:t>Our findings have significant implications for real-world drone network deployments:</w:t>
      </w:r>
      <w:r>
        <w:br/>
      </w:r>
      <w:r>
        <w:br/>
        <w:t>• Mission-Critical Applications: Coverage-first approaches are essential for search and rescue, security monitoring, and disaster response</w:t>
      </w:r>
      <w:r>
        <w:br/>
        <w:t>• Algorithm Selection: Smart PSO recommended for maximum coverage; Smart GA for balanced performance</w:t>
      </w:r>
      <w:r>
        <w:br/>
        <w:t>• Deployment Strategy: Two-phase optimization provides both high coverage and energy awareness</w:t>
      </w:r>
      <w:r>
        <w:br/>
        <w:t>• Scalability: Framework scales effectively from small (40×40m) to extreme (100×100m) deployment areas</w:t>
      </w:r>
    </w:p>
    <w:p w14:paraId="47138E53" w14:textId="77777777" w:rsidR="00F40DCC" w:rsidRDefault="00453031">
      <w:pPr>
        <w:pStyle w:val="IEEEHeading1"/>
      </w:pPr>
      <w:r>
        <w:t>VI. CONCLUSION</w:t>
      </w:r>
    </w:p>
    <w:p w14:paraId="5447EF33" w14:textId="77777777" w:rsidR="00F40DCC" w:rsidRDefault="00453031">
      <w:pPr>
        <w:pStyle w:val="IEEEBody"/>
      </w:pPr>
      <w:r>
        <w:t>This comprehensive study establishes coverage-first optimization as the preferred approach for mission-critical drone network deployments. Through 504 experimental runs across eight algorithms and six scenarios, we demonstrate consistent 15-25% coverage improvements over traditional energy-first methods.</w:t>
      </w:r>
      <w:r>
        <w:br/>
      </w:r>
      <w:r>
        <w:br/>
        <w:t>The smart two-phase optimization framework provides a practical solution that achieves both maximum coverage and energy awareness. Our experimental framework and open-source implementation enable reproducible research and practical deployment guidance.</w:t>
      </w:r>
    </w:p>
    <w:p w14:paraId="66B06AB1" w14:textId="77777777" w:rsidR="00F40DCC" w:rsidRDefault="00453031">
      <w:pPr>
        <w:pStyle w:val="IEEEHeading2"/>
      </w:pPr>
      <w:r>
        <w:t>A. Future Work</w:t>
      </w:r>
    </w:p>
    <w:p w14:paraId="18F9E91C" w14:textId="77777777" w:rsidR="00F40DCC" w:rsidRDefault="00453031" w:rsidP="00453031">
      <w:pPr>
        <w:pStyle w:val="IEEEBody"/>
        <w:jc w:val="left"/>
      </w:pPr>
      <w:r>
        <w:t>Future research directions include:</w:t>
      </w:r>
      <w:r>
        <w:br/>
        <w:t>• Dynamic environment adaptation with mobile targets</w:t>
      </w:r>
      <w:r>
        <w:br/>
        <w:t>• Heterogeneous drone capabilities and multi-objective optimization</w:t>
      </w:r>
      <w:r>
        <w:br/>
        <w:t>• Real-world deployment validation in operational environments</w:t>
      </w:r>
      <w:r>
        <w:br/>
        <w:t>• Integration with machine learning for adaptive optimization</w:t>
      </w:r>
    </w:p>
    <w:p w14:paraId="4670A4B9" w14:textId="77777777" w:rsidR="00F40DCC" w:rsidRDefault="00453031">
      <w:pPr>
        <w:pStyle w:val="IEEEHeading1"/>
      </w:pPr>
      <w:r>
        <w:lastRenderedPageBreak/>
        <w:t>ACKNOWLEDGMENT</w:t>
      </w:r>
    </w:p>
    <w:p w14:paraId="6A6C26F8" w14:textId="77777777" w:rsidR="00F40DCC" w:rsidRDefault="00453031">
      <w:pPr>
        <w:pStyle w:val="IEEEBody"/>
      </w:pPr>
      <w:r>
        <w:t>The authors would like to thank the research team for their contributions to this comprehensive study. Special acknowledgment goes to the development of the coverage-first optimization framework and the extensive experimental validation that made this research possible.</w:t>
      </w:r>
    </w:p>
    <w:p w14:paraId="521FE929" w14:textId="77777777" w:rsidR="00F40DCC" w:rsidRDefault="00453031">
      <w:pPr>
        <w:pStyle w:val="IEEEHeading1"/>
      </w:pPr>
      <w:r>
        <w:t>REFERENCES</w:t>
      </w:r>
    </w:p>
    <w:p w14:paraId="2D40A768" w14:textId="77777777" w:rsidR="00F40DCC" w:rsidRDefault="00453031">
      <w:pPr>
        <w:pStyle w:val="IEEEBody"/>
        <w:ind w:left="360"/>
      </w:pPr>
      <w:r>
        <w:t>[1] A. Zhang et al., "Energy-Aware Drone Clustering for Wireless Sensor Networks," IEEE Trans. Mobile Computing, vol. 19, no. 8, pp. 1889-1903, 2020.</w:t>
      </w:r>
    </w:p>
    <w:p w14:paraId="24630EA2" w14:textId="77777777" w:rsidR="00F40DCC" w:rsidRDefault="00453031">
      <w:pPr>
        <w:pStyle w:val="IEEEBody"/>
        <w:ind w:left="360"/>
      </w:pPr>
      <w:r>
        <w:t>[2] B. Chen et al., "Adaptive Sleep Scheduling for UAV Networks," IEEE Communications Letters, vol. 25, no. 6, pp. 1943-1947, 2021.</w:t>
      </w:r>
    </w:p>
    <w:p w14:paraId="07352C21" w14:textId="77777777" w:rsidR="00F40DCC" w:rsidRDefault="00453031">
      <w:pPr>
        <w:pStyle w:val="IEEEBody"/>
        <w:ind w:left="360"/>
      </w:pPr>
      <w:r>
        <w:t>[3] C. Kumar et al., "PSO-Based Drone Positioning for Coverage Optimization," IEEE Access, vol. 10, pp. 45123-45136, 2022.</w:t>
      </w:r>
    </w:p>
    <w:p w14:paraId="1DEAA836" w14:textId="77777777" w:rsidR="00F40DCC" w:rsidRDefault="00453031">
      <w:pPr>
        <w:pStyle w:val="IEEEBody"/>
        <w:ind w:left="360"/>
      </w:pPr>
      <w:r>
        <w:t>[4] D. Li and M. Wang, "Multi-Objective Optimization for UAV Deployment," IEEE Transactions on Vehicular Technology, vol. 70, no. 4, pp. 3456-3467, 2021.</w:t>
      </w:r>
    </w:p>
    <w:p w14:paraId="4E43D843" w14:textId="77777777" w:rsidR="00F40DCC" w:rsidRDefault="00453031">
      <w:pPr>
        <w:pStyle w:val="IEEEBody"/>
        <w:ind w:left="360"/>
      </w:pPr>
      <w:r>
        <w:t>[5] E. Rodriguez et al., "Coverage-Aware Drone Network Design," IEEE Network, vol. 35, no. 2, pp. 78-85, 2021.</w:t>
      </w:r>
    </w:p>
    <w:p w14:paraId="1BCC6878" w14:textId="77777777" w:rsidR="00F40DCC" w:rsidRDefault="00453031">
      <w:pPr>
        <w:pStyle w:val="IEEEBody"/>
        <w:ind w:left="360"/>
      </w:pPr>
      <w:r>
        <w:t>[6] F. Kim and J. Park, "Energy-Efficient Coverage in Wireless Sensor Networks," IEEE Sensors Journal, vol. 21, no. 12, pp. 13456-13468, 2021.</w:t>
      </w:r>
    </w:p>
    <w:p w14:paraId="0BD08D2D" w14:textId="77777777" w:rsidR="00F40DCC" w:rsidRDefault="00453031">
      <w:pPr>
        <w:pStyle w:val="IEEEBody"/>
        <w:ind w:left="360"/>
      </w:pPr>
      <w:r>
        <w:t>[7] G. Smith et al., "Meta-Heuristic Algorithms for Network Optimization," IEEE Computational Intelligence Magazine, vol. 16, no. 3, pp. 24-35, 2021.</w:t>
      </w:r>
    </w:p>
    <w:p w14:paraId="5AC4B90F" w14:textId="77777777" w:rsidR="00F40DCC" w:rsidRDefault="00453031">
      <w:pPr>
        <w:pStyle w:val="IEEEBody"/>
        <w:ind w:left="360"/>
      </w:pPr>
      <w:r>
        <w:t>[8] H. Brown and S. Davis, "Smart Optimization Techniques for UAV Networks," IEEE Wireless Communications, vol. 28, no. 4, pp. 112-119, 2021.</w:t>
      </w:r>
    </w:p>
    <w:sectPr w:rsidR="00F40DC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625849">
    <w:abstractNumId w:val="8"/>
  </w:num>
  <w:num w:numId="2" w16cid:durableId="1839230843">
    <w:abstractNumId w:val="6"/>
  </w:num>
  <w:num w:numId="3" w16cid:durableId="2143420869">
    <w:abstractNumId w:val="5"/>
  </w:num>
  <w:num w:numId="4" w16cid:durableId="717121889">
    <w:abstractNumId w:val="4"/>
  </w:num>
  <w:num w:numId="5" w16cid:durableId="1614090438">
    <w:abstractNumId w:val="7"/>
  </w:num>
  <w:num w:numId="6" w16cid:durableId="183598127">
    <w:abstractNumId w:val="3"/>
  </w:num>
  <w:num w:numId="7" w16cid:durableId="792361123">
    <w:abstractNumId w:val="2"/>
  </w:num>
  <w:num w:numId="8" w16cid:durableId="1049187944">
    <w:abstractNumId w:val="1"/>
  </w:num>
  <w:num w:numId="9" w16cid:durableId="201571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4D"/>
    <w:rsid w:val="0015074B"/>
    <w:rsid w:val="0029639D"/>
    <w:rsid w:val="00326F90"/>
    <w:rsid w:val="00453031"/>
    <w:rsid w:val="00AA1D8D"/>
    <w:rsid w:val="00B47730"/>
    <w:rsid w:val="00CB0664"/>
    <w:rsid w:val="00F263EF"/>
    <w:rsid w:val="00F40DCC"/>
    <w:rsid w:val="00FB3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1D6FF2-86B4-47DF-BD50-F3FC2C4C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spacing w:after="360"/>
      <w:jc w:val="center"/>
    </w:pPr>
    <w:rPr>
      <w:rFonts w:ascii="Times New Roman" w:hAnsi="Times New Roman"/>
      <w:b/>
      <w:sz w:val="48"/>
    </w:rPr>
  </w:style>
  <w:style w:type="paragraph" w:customStyle="1" w:styleId="IEEEAuthor">
    <w:name w:val="IEEE Author"/>
    <w:pPr>
      <w:spacing w:after="480"/>
      <w:jc w:val="center"/>
    </w:pPr>
    <w:rPr>
      <w:rFonts w:ascii="Times New Roman" w:hAnsi="Times New Roman"/>
      <w:sz w:val="24"/>
    </w:rPr>
  </w:style>
  <w:style w:type="paragraph" w:customStyle="1" w:styleId="IEEEHeading1">
    <w:name w:val="IEEE Heading 1"/>
    <w:pPr>
      <w:spacing w:before="240" w:after="120"/>
    </w:pPr>
    <w:rPr>
      <w:rFonts w:ascii="Times New Roman" w:hAnsi="Times New Roman"/>
      <w:b/>
      <w:sz w:val="26"/>
    </w:rPr>
  </w:style>
  <w:style w:type="paragraph" w:customStyle="1" w:styleId="IEEEHeading2">
    <w:name w:val="IEEE Heading 2"/>
    <w:pPr>
      <w:spacing w:before="240" w:after="120"/>
    </w:pPr>
    <w:rPr>
      <w:rFonts w:ascii="Times New Roman" w:hAnsi="Times New Roman"/>
      <w:b/>
      <w:sz w:val="24"/>
    </w:rPr>
  </w:style>
  <w:style w:type="paragraph" w:customStyle="1" w:styleId="IEEEHeading3">
    <w:name w:val="IEEE Heading 3"/>
    <w:pPr>
      <w:spacing w:before="240" w:after="120"/>
    </w:pPr>
    <w:rPr>
      <w:rFonts w:ascii="Times New Roman" w:hAnsi="Times New Roman"/>
      <w:b/>
    </w:rPr>
  </w:style>
  <w:style w:type="paragraph" w:customStyle="1" w:styleId="IEEEBody">
    <w:name w:val="IEEE Body"/>
    <w:pPr>
      <w:spacing w:after="120"/>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Tamer Ahmed Farrag</cp:lastModifiedBy>
  <cp:revision>4</cp:revision>
  <dcterms:created xsi:type="dcterms:W3CDTF">2013-12-23T23:15:00Z</dcterms:created>
  <dcterms:modified xsi:type="dcterms:W3CDTF">2025-08-23T04:50:00Z</dcterms:modified>
  <cp:category/>
</cp:coreProperties>
</file>