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600"/>
        <w:jc w:val="center"/>
      </w:pPr>
      <w:r>
        <w:drawing>
          <wp:inline xmlns:a="http://schemas.openxmlformats.org/drawingml/2006/main" xmlns:pic="http://schemas.openxmlformats.org/drawingml/2006/picture">
            <wp:extent cx="3108960" cy="777240"/>
            <wp:docPr id="1" name="Picture 1"/>
            <wp:cNvGraphicFramePr>
              <a:graphicFrameLocks noChangeAspect="1"/>
            </wp:cNvGraphicFramePr>
            <a:graphic>
              <a:graphicData uri="http://schemas.openxmlformats.org/drawingml/2006/picture">
                <pic:pic>
                  <pic:nvPicPr>
                    <pic:cNvPr id="0" name="logo.png"/>
                    <pic:cNvPicPr/>
                  </pic:nvPicPr>
                  <pic:blipFill>
                    <a:blip r:embed="rId11"/>
                    <a:stretch>
                      <a:fillRect/>
                    </a:stretch>
                  </pic:blipFill>
                  <pic:spPr>
                    <a:xfrm>
                      <a:off x="0" y="0"/>
                      <a:ext cx="3108960" cy="777240"/>
                    </a:xfrm>
                    <a:prstGeom prst="rect"/>
                  </pic:spPr>
                </pic:pic>
              </a:graphicData>
            </a:graphic>
          </wp:inline>
        </w:drawing>
      </w:r>
    </w:p>
    <w:p>
      <w:pPr>
        <w:spacing w:after="160"/>
        <w:jc w:val="center"/>
      </w:pPr>
      <w:r>
        <w:rPr>
          <w:rFonts w:ascii="Arial" w:hAnsi="Arial"/>
          <w:b/>
          <w:color w:val="009FE3"/>
          <w:sz w:val="48"/>
        </w:rPr>
        <w:t>MANUAL DE USUARIO Y GUÍA TÉCNICA</w:t>
      </w:r>
    </w:p>
    <w:p>
      <w:pPr>
        <w:spacing w:after="560"/>
        <w:jc w:val="center"/>
      </w:pPr>
      <w:r>
        <w:rPr>
          <w:rFonts w:ascii="Calibri" w:hAnsi="Calibri"/>
          <w:color w:val="475569"/>
          <w:sz w:val="28"/>
        </w:rPr>
        <w:t>Simulador Fotovoltaico · Análisis Técnico-Económico, BESS, Matrices de Sensibilidad y Propuestas Comerciales</w:t>
      </w:r>
    </w:p>
    <w:p>
      <w:pPr>
        <w:spacing w:after="800"/>
        <w:jc w:val="center"/>
      </w:pPr>
      <w:r>
        <w:rPr>
          <w:color w:val="009FE3"/>
        </w:rPr>
        <w:t>━━━━━━━━━━━━━━━━━━━━━━━━━━━━━━━━━━━━━━━━</w:t>
      </w:r>
    </w:p>
    <w:tbl>
      <w:tblPr>
        <w:tblW w:type="auto" w:w="0"/>
        <w:jc w:val="center"/>
        <w:tblLook w:firstColumn="1" w:firstRow="1" w:lastColumn="0" w:lastRow="0" w:noHBand="0" w:noVBand="1" w:val="04A0"/>
      </w:tblPr>
      <w:tblGrid>
        <w:gridCol w:w="4680"/>
        <w:gridCol w:w="4680"/>
      </w:tblGrid>
      <w:tr>
        <w:tc>
          <w:tcPr>
            <w:tcW w:type="dxa" w:w="3312"/>
            <w:shd w:fill="F8FAFC"/>
            <w:tcMar>
              <w:top w:w="80" w:type="dxa"/>
              <w:bottom w:w="80" w:type="dxa"/>
              <w:left w:w="120" w:type="dxa"/>
              <w:right w:w="120" w:type="dxa"/>
            </w:tcMar>
            <w:vAlign w:val="center"/>
          </w:tcPr>
          <w:p>
            <w:pPr>
              <w:spacing w:before="40" w:after="40"/>
            </w:pPr>
            <w:r>
              <w:rPr>
                <w:rFonts w:ascii="Calibri" w:hAnsi="Calibri"/>
                <w:b/>
                <w:color w:val="009FE3"/>
                <w:sz w:val="20"/>
              </w:rPr>
              <w:t>Empresa / Organización:</w:t>
            </w:r>
          </w:p>
        </w:tc>
        <w:tc>
          <w:tcPr>
            <w:tcW w:type="dxa" w:w="6048"/>
            <w:shd w:fill="F8FAFC"/>
            <w:tcMar>
              <w:top w:w="80" w:type="dxa"/>
              <w:bottom w:w="80" w:type="dxa"/>
              <w:left w:w="120" w:type="dxa"/>
              <w:right w:w="120" w:type="dxa"/>
            </w:tcMar>
            <w:vAlign w:val="center"/>
          </w:tcPr>
          <w:p>
            <w:pPr>
              <w:spacing w:before="40" w:after="40"/>
            </w:pPr>
            <w:r>
              <w:rPr>
                <w:rFonts w:ascii="Calibri" w:hAnsi="Calibri"/>
                <w:b w:val="0"/>
                <w:color w:val="1E293B"/>
                <w:sz w:val="20"/>
              </w:rPr>
              <w:t>ALP GROUP · Soluciones Energéticas</w:t>
            </w:r>
          </w:p>
        </w:tc>
      </w:tr>
      <w:tr>
        <w:tc>
          <w:tcPr>
            <w:tcW w:type="dxa" w:w="3312"/>
            <w:shd w:fill="FFFFFF"/>
            <w:tcMar>
              <w:top w:w="80" w:type="dxa"/>
              <w:bottom w:w="80" w:type="dxa"/>
              <w:left w:w="120" w:type="dxa"/>
              <w:right w:w="120" w:type="dxa"/>
            </w:tcMar>
            <w:vAlign w:val="center"/>
          </w:tcPr>
          <w:p>
            <w:pPr>
              <w:spacing w:before="40" w:after="40"/>
            </w:pPr>
            <w:r>
              <w:rPr>
                <w:rFonts w:ascii="Calibri" w:hAnsi="Calibri"/>
                <w:b/>
                <w:color w:val="009FE3"/>
                <w:sz w:val="20"/>
              </w:rPr>
              <w:t>Plataforma Web:</w:t>
            </w:r>
          </w:p>
        </w:tc>
        <w:tc>
          <w:tcPr>
            <w:tcW w:type="dxa" w:w="6048"/>
            <w:shd w:fill="FFFFFF"/>
            <w:tcMar>
              <w:top w:w="80" w:type="dxa"/>
              <w:bottom w:w="80" w:type="dxa"/>
              <w:left w:w="120" w:type="dxa"/>
              <w:right w:w="120" w:type="dxa"/>
            </w:tcMar>
            <w:vAlign w:val="center"/>
          </w:tcPr>
          <w:p>
            <w:pPr>
              <w:spacing w:before="40" w:after="40"/>
            </w:pPr>
            <w:r>
              <w:rPr>
                <w:rFonts w:ascii="Calibri" w:hAnsi="Calibri"/>
                <w:b w:val="0"/>
                <w:color w:val="1E293B"/>
                <w:sz w:val="20"/>
              </w:rPr>
              <w:t>https://alp-g-app.vercel.app</w:t>
            </w:r>
          </w:p>
        </w:tc>
      </w:tr>
      <w:tr>
        <w:tc>
          <w:tcPr>
            <w:tcW w:type="dxa" w:w="3312"/>
            <w:shd w:fill="F8FAFC"/>
            <w:tcMar>
              <w:top w:w="80" w:type="dxa"/>
              <w:bottom w:w="80" w:type="dxa"/>
              <w:left w:w="120" w:type="dxa"/>
              <w:right w:w="120" w:type="dxa"/>
            </w:tcMar>
            <w:vAlign w:val="center"/>
          </w:tcPr>
          <w:p>
            <w:pPr>
              <w:spacing w:before="40" w:after="40"/>
            </w:pPr>
            <w:r>
              <w:rPr>
                <w:rFonts w:ascii="Calibri" w:hAnsi="Calibri"/>
                <w:b/>
                <w:color w:val="009FE3"/>
                <w:sz w:val="20"/>
              </w:rPr>
              <w:t>Versión del Sistema:</w:t>
            </w:r>
          </w:p>
        </w:tc>
        <w:tc>
          <w:tcPr>
            <w:tcW w:type="dxa" w:w="6048"/>
            <w:shd w:fill="F8FAFC"/>
            <w:tcMar>
              <w:top w:w="80" w:type="dxa"/>
              <w:bottom w:w="80" w:type="dxa"/>
              <w:left w:w="120" w:type="dxa"/>
              <w:right w:w="120" w:type="dxa"/>
            </w:tcMar>
            <w:vAlign w:val="center"/>
          </w:tcPr>
          <w:p>
            <w:pPr>
              <w:spacing w:before="40" w:after="40"/>
            </w:pPr>
            <w:r>
              <w:rPr>
                <w:rFonts w:ascii="Calibri" w:hAnsi="Calibri"/>
                <w:b w:val="0"/>
                <w:color w:val="1E293B"/>
                <w:sz w:val="20"/>
              </w:rPr>
              <w:t>v2.0 (Edición Corporativa 2026)</w:t>
            </w:r>
          </w:p>
        </w:tc>
      </w:tr>
      <w:tr>
        <w:tc>
          <w:tcPr>
            <w:tcW w:type="dxa" w:w="3312"/>
            <w:shd w:fill="FFFFFF"/>
            <w:tcMar>
              <w:top w:w="80" w:type="dxa"/>
              <w:bottom w:w="80" w:type="dxa"/>
              <w:left w:w="120" w:type="dxa"/>
              <w:right w:w="120" w:type="dxa"/>
            </w:tcMar>
            <w:vAlign w:val="center"/>
          </w:tcPr>
          <w:p>
            <w:pPr>
              <w:spacing w:before="40" w:after="40"/>
            </w:pPr>
            <w:r>
              <w:rPr>
                <w:rFonts w:ascii="Calibri" w:hAnsi="Calibri"/>
                <w:b/>
                <w:color w:val="009FE3"/>
                <w:sz w:val="20"/>
              </w:rPr>
              <w:t>Área de Aplicación:</w:t>
            </w:r>
          </w:p>
        </w:tc>
        <w:tc>
          <w:tcPr>
            <w:tcW w:type="dxa" w:w="6048"/>
            <w:shd w:fill="FFFFFF"/>
            <w:tcMar>
              <w:top w:w="80" w:type="dxa"/>
              <w:bottom w:w="80" w:type="dxa"/>
              <w:left w:w="120" w:type="dxa"/>
              <w:right w:w="120" w:type="dxa"/>
            </w:tcMar>
            <w:vAlign w:val="center"/>
          </w:tcPr>
          <w:p>
            <w:pPr>
              <w:spacing w:before="40" w:after="40"/>
            </w:pPr>
            <w:r>
              <w:rPr>
                <w:rFonts w:ascii="Calibri" w:hAnsi="Calibri"/>
                <w:b w:val="0"/>
                <w:color w:val="1E293B"/>
                <w:sz w:val="20"/>
              </w:rPr>
              <w:t>Ingeniería de Preventa, Comercial y Proyectos Solares</w:t>
            </w:r>
          </w:p>
        </w:tc>
      </w:tr>
      <w:tr>
        <w:tc>
          <w:tcPr>
            <w:tcW w:type="dxa" w:w="3312"/>
            <w:shd w:fill="F8FAFC"/>
            <w:tcMar>
              <w:top w:w="80" w:type="dxa"/>
              <w:bottom w:w="80" w:type="dxa"/>
              <w:left w:w="120" w:type="dxa"/>
              <w:right w:w="120" w:type="dxa"/>
            </w:tcMar>
            <w:vAlign w:val="center"/>
          </w:tcPr>
          <w:p>
            <w:pPr>
              <w:spacing w:before="40" w:after="40"/>
            </w:pPr>
            <w:r>
              <w:rPr>
                <w:rFonts w:ascii="Calibri" w:hAnsi="Calibri"/>
                <w:b/>
                <w:color w:val="009FE3"/>
                <w:sz w:val="20"/>
              </w:rPr>
              <w:t>Fecha de Publicación:</w:t>
            </w:r>
          </w:p>
        </w:tc>
        <w:tc>
          <w:tcPr>
            <w:tcW w:type="dxa" w:w="6048"/>
            <w:shd w:fill="F8FAFC"/>
            <w:tcMar>
              <w:top w:w="80" w:type="dxa"/>
              <w:bottom w:w="80" w:type="dxa"/>
              <w:left w:w="120" w:type="dxa"/>
              <w:right w:w="120" w:type="dxa"/>
            </w:tcMar>
            <w:vAlign w:val="center"/>
          </w:tcPr>
          <w:p>
            <w:pPr>
              <w:spacing w:before="40" w:after="40"/>
            </w:pPr>
            <w:r>
              <w:rPr>
                <w:rFonts w:ascii="Calibri" w:hAnsi="Calibri"/>
                <w:b w:val="0"/>
                <w:color w:val="1E293B"/>
                <w:sz w:val="20"/>
              </w:rPr>
              <w:t>Septiembre 2026</w:t>
            </w:r>
          </w:p>
        </w:tc>
      </w:tr>
    </w:tbl>
    <w:p>
      <w:r>
        <w:br w:type="page"/>
      </w:r>
    </w:p>
    <w:p>
      <w:pPr>
        <w:pStyle w:val="Heading1"/>
      </w:pPr>
      <w:r>
        <w:rPr>
          <w:color w:val="009FE3"/>
        </w:rPr>
        <w:t>Índice General de Contenidos</w:t>
      </w:r>
    </w:p>
    <w:tbl>
      <w:tblPr>
        <w:tblW w:type="auto" w:w="0"/>
        <w:jc w:val="center"/>
        <w:tblLook w:firstColumn="1" w:firstRow="1" w:lastColumn="0" w:lastRow="0" w:noHBand="0" w:noVBand="1" w:val="04A0"/>
      </w:tblPr>
      <w:tblGrid>
        <w:gridCol w:w="4680"/>
        <w:gridCol w:w="4680"/>
      </w:tblGrid>
      <w:tr>
        <w:tc>
          <w:tcPr>
            <w:tcW w:type="dxa" w:w="8352"/>
            <w:shd w:fill="FFFFFF"/>
            <w:tcMar>
              <w:top w:w="80" w:type="dxa"/>
              <w:bottom w:w="80" w:type="dxa"/>
              <w:left w:w="120" w:type="dxa"/>
              <w:right w:w="120" w:type="dxa"/>
            </w:tcMar>
            <w:vAlign w:val="center"/>
          </w:tcPr>
          <w:p>
            <w:pPr>
              <w:spacing w:before="40" w:after="40"/>
            </w:pPr>
            <w:r>
              <w:rPr>
                <w:rFonts w:ascii="Calibri" w:hAnsi="Calibri"/>
                <w:b/>
                <w:color w:val="334155"/>
                <w:sz w:val="20"/>
              </w:rPr>
              <w:t>1. Introducción y Propósito de la Plataforma</w:t>
            </w:r>
          </w:p>
        </w:tc>
        <w:tc>
          <w:tcPr>
            <w:tcW w:type="dxa" w:w="1008"/>
            <w:shd w:fill="FFFFFF"/>
            <w:tcMar>
              <w:top w:w="80" w:type="dxa"/>
              <w:bottom w:w="80" w:type="dxa"/>
              <w:left w:w="120" w:type="dxa"/>
              <w:right w:w="120" w:type="dxa"/>
            </w:tcMar>
            <w:vAlign w:val="center"/>
          </w:tcPr>
          <w:p>
            <w:pPr>
              <w:spacing w:before="40" w:after="40"/>
              <w:jc w:val="right"/>
            </w:pPr>
            <w:r>
              <w:rPr>
                <w:rFonts w:ascii="Calibri" w:hAnsi="Calibri"/>
                <w:b/>
                <w:color w:val="334155"/>
                <w:sz w:val="20"/>
              </w:rPr>
              <w:t>3</w:t>
            </w:r>
          </w:p>
        </w:tc>
      </w:tr>
      <w:tr>
        <w:tc>
          <w:tcPr>
            <w:tcW w:type="dxa" w:w="8352"/>
            <w:shd w:fill="FFFFFF"/>
            <w:tcMar>
              <w:top w:w="80" w:type="dxa"/>
              <w:bottom w:w="80" w:type="dxa"/>
              <w:left w:w="120" w:type="dxa"/>
              <w:right w:w="120" w:type="dxa"/>
            </w:tcMar>
            <w:vAlign w:val="center"/>
          </w:tcPr>
          <w:p>
            <w:pPr>
              <w:spacing w:before="40" w:after="40"/>
            </w:pPr>
            <w:r>
              <w:rPr>
                <w:rFonts w:ascii="Calibri" w:hAnsi="Calibri"/>
                <w:b/>
                <w:color w:val="334155"/>
                <w:sz w:val="20"/>
              </w:rPr>
              <w:t>2. Arquitectura del Sistema y Persistencia Dual (Nube vs. Local)</w:t>
            </w:r>
          </w:p>
        </w:tc>
        <w:tc>
          <w:tcPr>
            <w:tcW w:type="dxa" w:w="1008"/>
            <w:shd w:fill="FFFFFF"/>
            <w:tcMar>
              <w:top w:w="80" w:type="dxa"/>
              <w:bottom w:w="80" w:type="dxa"/>
              <w:left w:w="120" w:type="dxa"/>
              <w:right w:w="120" w:type="dxa"/>
            </w:tcMar>
            <w:vAlign w:val="center"/>
          </w:tcPr>
          <w:p>
            <w:pPr>
              <w:spacing w:before="40" w:after="40"/>
              <w:jc w:val="right"/>
            </w:pPr>
            <w:r>
              <w:rPr>
                <w:rFonts w:ascii="Calibri" w:hAnsi="Calibri"/>
                <w:b/>
                <w:color w:val="334155"/>
                <w:sz w:val="20"/>
              </w:rPr>
              <w:t>4</w:t>
            </w:r>
          </w:p>
        </w:tc>
      </w:tr>
      <w:tr>
        <w:tc>
          <w:tcPr>
            <w:tcW w:type="dxa" w:w="8352"/>
            <w:shd w:fill="FFFFFF"/>
            <w:tcMar>
              <w:top w:w="80" w:type="dxa"/>
              <w:bottom w:w="80" w:type="dxa"/>
              <w:left w:w="120" w:type="dxa"/>
              <w:right w:w="120" w:type="dxa"/>
            </w:tcMar>
            <w:vAlign w:val="center"/>
          </w:tcPr>
          <w:p>
            <w:pPr>
              <w:spacing w:before="40" w:after="40"/>
            </w:pPr>
            <w:r>
              <w:rPr>
                <w:rFonts w:ascii="Calibri" w:hAnsi="Calibri"/>
                <w:b/>
                <w:color w:val="334155"/>
                <w:sz w:val="20"/>
              </w:rPr>
              <w:t>3. Guía Paso a Paso de las Pestañas de Análisis</w:t>
            </w:r>
          </w:p>
        </w:tc>
        <w:tc>
          <w:tcPr>
            <w:tcW w:type="dxa" w:w="1008"/>
            <w:shd w:fill="FFFFFF"/>
            <w:tcMar>
              <w:top w:w="80" w:type="dxa"/>
              <w:bottom w:w="80" w:type="dxa"/>
              <w:left w:w="120" w:type="dxa"/>
              <w:right w:w="120" w:type="dxa"/>
            </w:tcMar>
            <w:vAlign w:val="center"/>
          </w:tcPr>
          <w:p>
            <w:pPr>
              <w:spacing w:before="40" w:after="40"/>
              <w:jc w:val="right"/>
            </w:pPr>
            <w:r>
              <w:rPr>
                <w:rFonts w:ascii="Calibri" w:hAnsi="Calibri"/>
                <w:b/>
                <w:color w:val="334155"/>
                <w:sz w:val="20"/>
              </w:rPr>
              <w:t>5</w:t>
            </w:r>
          </w:p>
        </w:tc>
      </w:tr>
      <w:tr>
        <w:tc>
          <w:tcPr>
            <w:tcW w:type="dxa" w:w="8352"/>
            <w:shd w:fill="FFFFFF"/>
            <w:tcMar>
              <w:top w:w="80" w:type="dxa"/>
              <w:bottom w:w="80" w:type="dxa"/>
              <w:left w:w="120" w:type="dxa"/>
              <w:right w:w="120" w:type="dxa"/>
            </w:tcMar>
            <w:vAlign w:val="center"/>
          </w:tcPr>
          <w:p>
            <w:pPr>
              <w:spacing w:before="40" w:after="40"/>
            </w:pPr>
            <w:r>
              <w:rPr>
                <w:rFonts w:ascii="Calibri" w:hAnsi="Calibri"/>
                <w:b w:val="0"/>
                <w:color w:val="334155"/>
                <w:sz w:val="20"/>
              </w:rPr>
              <w:t xml:space="preserve">   3.1. Pestaña 📋 Datos &amp; Asistente de Dimensionamiento</w:t>
            </w:r>
          </w:p>
        </w:tc>
        <w:tc>
          <w:tcPr>
            <w:tcW w:type="dxa" w:w="1008"/>
            <w:shd w:fill="FFFFFF"/>
            <w:tcMar>
              <w:top w:w="80" w:type="dxa"/>
              <w:bottom w:w="80" w:type="dxa"/>
              <w:left w:w="120" w:type="dxa"/>
              <w:right w:w="120" w:type="dxa"/>
            </w:tcMar>
            <w:vAlign w:val="center"/>
          </w:tcPr>
          <w:p>
            <w:pPr>
              <w:spacing w:before="40" w:after="40"/>
              <w:jc w:val="right"/>
            </w:pPr>
            <w:r>
              <w:rPr>
                <w:rFonts w:ascii="Calibri" w:hAnsi="Calibri"/>
                <w:b w:val="0"/>
                <w:color w:val="334155"/>
                <w:sz w:val="20"/>
              </w:rPr>
              <w:t>5</w:t>
            </w:r>
          </w:p>
        </w:tc>
      </w:tr>
      <w:tr>
        <w:tc>
          <w:tcPr>
            <w:tcW w:type="dxa" w:w="8352"/>
            <w:shd w:fill="FFFFFF"/>
            <w:tcMar>
              <w:top w:w="80" w:type="dxa"/>
              <w:bottom w:w="80" w:type="dxa"/>
              <w:left w:w="120" w:type="dxa"/>
              <w:right w:w="120" w:type="dxa"/>
            </w:tcMar>
            <w:vAlign w:val="center"/>
          </w:tcPr>
          <w:p>
            <w:pPr>
              <w:spacing w:before="40" w:after="40"/>
            </w:pPr>
            <w:r>
              <w:rPr>
                <w:rFonts w:ascii="Calibri" w:hAnsi="Calibri"/>
                <w:b w:val="0"/>
                <w:color w:val="334155"/>
                <w:sz w:val="20"/>
              </w:rPr>
              <w:t xml:space="preserve">   3.2. Pestaña 🛰️ Techo &amp; 3D (Diseño Satelital y Cierre Express en 90s)</w:t>
            </w:r>
          </w:p>
        </w:tc>
        <w:tc>
          <w:tcPr>
            <w:tcW w:type="dxa" w:w="1008"/>
            <w:shd w:fill="FFFFFF"/>
            <w:tcMar>
              <w:top w:w="80" w:type="dxa"/>
              <w:bottom w:w="80" w:type="dxa"/>
              <w:left w:w="120" w:type="dxa"/>
              <w:right w:w="120" w:type="dxa"/>
            </w:tcMar>
            <w:vAlign w:val="center"/>
          </w:tcPr>
          <w:p>
            <w:pPr>
              <w:spacing w:before="40" w:after="40"/>
              <w:jc w:val="right"/>
            </w:pPr>
            <w:r>
              <w:rPr>
                <w:rFonts w:ascii="Calibri" w:hAnsi="Calibri"/>
                <w:b w:val="0"/>
                <w:color w:val="334155"/>
                <w:sz w:val="20"/>
              </w:rPr>
              <w:t>6</w:t>
            </w:r>
          </w:p>
        </w:tc>
      </w:tr>
      <w:tr>
        <w:tc>
          <w:tcPr>
            <w:tcW w:type="dxa" w:w="8352"/>
            <w:shd w:fill="FFFFFF"/>
            <w:tcMar>
              <w:top w:w="80" w:type="dxa"/>
              <w:bottom w:w="80" w:type="dxa"/>
              <w:left w:w="120" w:type="dxa"/>
              <w:right w:w="120" w:type="dxa"/>
            </w:tcMar>
            <w:vAlign w:val="center"/>
          </w:tcPr>
          <w:p>
            <w:pPr>
              <w:spacing w:before="40" w:after="40"/>
            </w:pPr>
            <w:r>
              <w:rPr>
                <w:rFonts w:ascii="Calibri" w:hAnsi="Calibri"/>
                <w:b w:val="0"/>
                <w:color w:val="334155"/>
                <w:sz w:val="20"/>
              </w:rPr>
              <w:t xml:space="preserve">   3.3. Pestaña ⚡ Energía, CO₂ y Desglose de Pérdidas Técnicas</w:t>
            </w:r>
          </w:p>
        </w:tc>
        <w:tc>
          <w:tcPr>
            <w:tcW w:type="dxa" w:w="1008"/>
            <w:shd w:fill="FFFFFF"/>
            <w:tcMar>
              <w:top w:w="80" w:type="dxa"/>
              <w:bottom w:w="80" w:type="dxa"/>
              <w:left w:w="120" w:type="dxa"/>
              <w:right w:w="120" w:type="dxa"/>
            </w:tcMar>
            <w:vAlign w:val="center"/>
          </w:tcPr>
          <w:p>
            <w:pPr>
              <w:spacing w:before="40" w:after="40"/>
              <w:jc w:val="right"/>
            </w:pPr>
            <w:r>
              <w:rPr>
                <w:rFonts w:ascii="Calibri" w:hAnsi="Calibri"/>
                <w:b w:val="0"/>
                <w:color w:val="334155"/>
                <w:sz w:val="20"/>
              </w:rPr>
              <w:t>8</w:t>
            </w:r>
          </w:p>
        </w:tc>
      </w:tr>
      <w:tr>
        <w:tc>
          <w:tcPr>
            <w:tcW w:type="dxa" w:w="8352"/>
            <w:shd w:fill="FFFFFF"/>
            <w:tcMar>
              <w:top w:w="80" w:type="dxa"/>
              <w:bottom w:w="80" w:type="dxa"/>
              <w:left w:w="120" w:type="dxa"/>
              <w:right w:w="120" w:type="dxa"/>
            </w:tcMar>
            <w:vAlign w:val="center"/>
          </w:tcPr>
          <w:p>
            <w:pPr>
              <w:spacing w:before="40" w:after="40"/>
            </w:pPr>
            <w:r>
              <w:rPr>
                <w:rFonts w:ascii="Calibri" w:hAnsi="Calibri"/>
                <w:b w:val="0"/>
                <w:color w:val="334155"/>
                <w:sz w:val="20"/>
              </w:rPr>
              <w:t xml:space="preserve">   3.4. Pestaña 📈 Resultados Económicos (Compra Directa)</w:t>
            </w:r>
          </w:p>
        </w:tc>
        <w:tc>
          <w:tcPr>
            <w:tcW w:type="dxa" w:w="1008"/>
            <w:shd w:fill="FFFFFF"/>
            <w:tcMar>
              <w:top w:w="80" w:type="dxa"/>
              <w:bottom w:w="80" w:type="dxa"/>
              <w:left w:w="120" w:type="dxa"/>
              <w:right w:w="120" w:type="dxa"/>
            </w:tcMar>
            <w:vAlign w:val="center"/>
          </w:tcPr>
          <w:p>
            <w:pPr>
              <w:spacing w:before="40" w:after="40"/>
              <w:jc w:val="right"/>
            </w:pPr>
            <w:r>
              <w:rPr>
                <w:rFonts w:ascii="Calibri" w:hAnsi="Calibri"/>
                <w:b w:val="0"/>
                <w:color w:val="334155"/>
                <w:sz w:val="20"/>
              </w:rPr>
              <w:t>9</w:t>
            </w:r>
          </w:p>
        </w:tc>
      </w:tr>
      <w:tr>
        <w:tc>
          <w:tcPr>
            <w:tcW w:type="dxa" w:w="8352"/>
            <w:shd w:fill="FFFFFF"/>
            <w:tcMar>
              <w:top w:w="80" w:type="dxa"/>
              <w:bottom w:w="80" w:type="dxa"/>
              <w:left w:w="120" w:type="dxa"/>
              <w:right w:w="120" w:type="dxa"/>
            </w:tcMar>
            <w:vAlign w:val="center"/>
          </w:tcPr>
          <w:p>
            <w:pPr>
              <w:spacing w:before="40" w:after="40"/>
            </w:pPr>
            <w:r>
              <w:rPr>
                <w:rFonts w:ascii="Calibri" w:hAnsi="Calibri"/>
                <w:b w:val="0"/>
                <w:color w:val="334155"/>
                <w:sz w:val="20"/>
              </w:rPr>
              <w:t xml:space="preserve">   3.5. Pestaña 🏦 Leasing vs. Compra al Contado</w:t>
            </w:r>
          </w:p>
        </w:tc>
        <w:tc>
          <w:tcPr>
            <w:tcW w:type="dxa" w:w="1008"/>
            <w:shd w:fill="FFFFFF"/>
            <w:tcMar>
              <w:top w:w="80" w:type="dxa"/>
              <w:bottom w:w="80" w:type="dxa"/>
              <w:left w:w="120" w:type="dxa"/>
              <w:right w:w="120" w:type="dxa"/>
            </w:tcMar>
            <w:vAlign w:val="center"/>
          </w:tcPr>
          <w:p>
            <w:pPr>
              <w:spacing w:before="40" w:after="40"/>
              <w:jc w:val="right"/>
            </w:pPr>
            <w:r>
              <w:rPr>
                <w:rFonts w:ascii="Calibri" w:hAnsi="Calibri"/>
                <w:b w:val="0"/>
                <w:color w:val="334155"/>
                <w:sz w:val="20"/>
              </w:rPr>
              <w:t>10</w:t>
            </w:r>
          </w:p>
        </w:tc>
      </w:tr>
      <w:tr>
        <w:tc>
          <w:tcPr>
            <w:tcW w:type="dxa" w:w="8352"/>
            <w:shd w:fill="FFFFFF"/>
            <w:tcMar>
              <w:top w:w="80" w:type="dxa"/>
              <w:bottom w:w="80" w:type="dxa"/>
              <w:left w:w="120" w:type="dxa"/>
              <w:right w:w="120" w:type="dxa"/>
            </w:tcMar>
            <w:vAlign w:val="center"/>
          </w:tcPr>
          <w:p>
            <w:pPr>
              <w:spacing w:before="40" w:after="40"/>
            </w:pPr>
            <w:r>
              <w:rPr>
                <w:rFonts w:ascii="Calibri" w:hAnsi="Calibri"/>
                <w:b w:val="0"/>
                <w:color w:val="334155"/>
                <w:sz w:val="20"/>
              </w:rPr>
              <w:t xml:space="preserve">   3.6. Pestaña 🎯 Análisis de Sensibilidad y Matrices de Riesgo</w:t>
            </w:r>
          </w:p>
        </w:tc>
        <w:tc>
          <w:tcPr>
            <w:tcW w:type="dxa" w:w="1008"/>
            <w:shd w:fill="FFFFFF"/>
            <w:tcMar>
              <w:top w:w="80" w:type="dxa"/>
              <w:bottom w:w="80" w:type="dxa"/>
              <w:left w:w="120" w:type="dxa"/>
              <w:right w:w="120" w:type="dxa"/>
            </w:tcMar>
            <w:vAlign w:val="center"/>
          </w:tcPr>
          <w:p>
            <w:pPr>
              <w:spacing w:before="40" w:after="40"/>
              <w:jc w:val="right"/>
            </w:pPr>
            <w:r>
              <w:rPr>
                <w:rFonts w:ascii="Calibri" w:hAnsi="Calibri"/>
                <w:b w:val="0"/>
                <w:color w:val="334155"/>
                <w:sz w:val="20"/>
              </w:rPr>
              <w:t>11</w:t>
            </w:r>
          </w:p>
        </w:tc>
      </w:tr>
      <w:tr>
        <w:tc>
          <w:tcPr>
            <w:tcW w:type="dxa" w:w="8352"/>
            <w:shd w:fill="FFFFFF"/>
            <w:tcMar>
              <w:top w:w="80" w:type="dxa"/>
              <w:bottom w:w="80" w:type="dxa"/>
              <w:left w:w="120" w:type="dxa"/>
              <w:right w:w="120" w:type="dxa"/>
            </w:tcMar>
            <w:vAlign w:val="center"/>
          </w:tcPr>
          <w:p>
            <w:pPr>
              <w:spacing w:before="40" w:after="40"/>
            </w:pPr>
            <w:r>
              <w:rPr>
                <w:rFonts w:ascii="Calibri" w:hAnsi="Calibri"/>
                <w:b w:val="0"/>
                <w:color w:val="334155"/>
                <w:sz w:val="20"/>
              </w:rPr>
              <w:t xml:space="preserve">   3.7. Pestaña ⚖️ Comparador Multi-Proyecto Lado a Lado</w:t>
            </w:r>
          </w:p>
        </w:tc>
        <w:tc>
          <w:tcPr>
            <w:tcW w:type="dxa" w:w="1008"/>
            <w:shd w:fill="FFFFFF"/>
            <w:tcMar>
              <w:top w:w="80" w:type="dxa"/>
              <w:bottom w:w="80" w:type="dxa"/>
              <w:left w:w="120" w:type="dxa"/>
              <w:right w:w="120" w:type="dxa"/>
            </w:tcMar>
            <w:vAlign w:val="center"/>
          </w:tcPr>
          <w:p>
            <w:pPr>
              <w:spacing w:before="40" w:after="40"/>
              <w:jc w:val="right"/>
            </w:pPr>
            <w:r>
              <w:rPr>
                <w:rFonts w:ascii="Calibri" w:hAnsi="Calibri"/>
                <w:b w:val="0"/>
                <w:color w:val="334155"/>
                <w:sz w:val="20"/>
              </w:rPr>
              <w:t>12</w:t>
            </w:r>
          </w:p>
        </w:tc>
      </w:tr>
      <w:tr>
        <w:tc>
          <w:tcPr>
            <w:tcW w:type="dxa" w:w="8352"/>
            <w:shd w:fill="FFFFFF"/>
            <w:tcMar>
              <w:top w:w="80" w:type="dxa"/>
              <w:bottom w:w="80" w:type="dxa"/>
              <w:left w:w="120" w:type="dxa"/>
              <w:right w:w="120" w:type="dxa"/>
            </w:tcMar>
            <w:vAlign w:val="center"/>
          </w:tcPr>
          <w:p>
            <w:pPr>
              <w:spacing w:before="40" w:after="40"/>
            </w:pPr>
            <w:r>
              <w:rPr>
                <w:rFonts w:ascii="Calibri" w:hAnsi="Calibri"/>
                <w:b w:val="0"/>
                <w:color w:val="334155"/>
                <w:sz w:val="20"/>
              </w:rPr>
              <w:t xml:space="preserve">   3.8. Pestaña 📄 Propuesta Comercial Ejecutiva (Cotización para Clientes)</w:t>
            </w:r>
          </w:p>
        </w:tc>
        <w:tc>
          <w:tcPr>
            <w:tcW w:type="dxa" w:w="1008"/>
            <w:shd w:fill="FFFFFF"/>
            <w:tcMar>
              <w:top w:w="80" w:type="dxa"/>
              <w:bottom w:w="80" w:type="dxa"/>
              <w:left w:w="120" w:type="dxa"/>
              <w:right w:w="120" w:type="dxa"/>
            </w:tcMar>
            <w:vAlign w:val="center"/>
          </w:tcPr>
          <w:p>
            <w:pPr>
              <w:spacing w:before="40" w:after="40"/>
              <w:jc w:val="right"/>
            </w:pPr>
            <w:r>
              <w:rPr>
                <w:rFonts w:ascii="Calibri" w:hAnsi="Calibri"/>
                <w:b w:val="0"/>
                <w:color w:val="334155"/>
                <w:sz w:val="20"/>
              </w:rPr>
              <w:t>12</w:t>
            </w:r>
          </w:p>
        </w:tc>
      </w:tr>
      <w:tr>
        <w:tc>
          <w:tcPr>
            <w:tcW w:type="dxa" w:w="8352"/>
            <w:shd w:fill="FFFFFF"/>
            <w:tcMar>
              <w:top w:w="80" w:type="dxa"/>
              <w:bottom w:w="80" w:type="dxa"/>
              <w:left w:w="120" w:type="dxa"/>
              <w:right w:w="120" w:type="dxa"/>
            </w:tcMar>
            <w:vAlign w:val="center"/>
          </w:tcPr>
          <w:p>
            <w:pPr>
              <w:spacing w:before="40" w:after="40"/>
            </w:pPr>
            <w:r>
              <w:rPr>
                <w:rFonts w:ascii="Calibri" w:hAnsi="Calibri"/>
                <w:b/>
                <w:color w:val="334155"/>
                <w:sz w:val="20"/>
              </w:rPr>
              <w:t>4. Base de Datos Solar y Presets de Distribuidoras Argentinas</w:t>
            </w:r>
          </w:p>
        </w:tc>
        <w:tc>
          <w:tcPr>
            <w:tcW w:type="dxa" w:w="1008"/>
            <w:shd w:fill="FFFFFF"/>
            <w:tcMar>
              <w:top w:w="80" w:type="dxa"/>
              <w:bottom w:w="80" w:type="dxa"/>
              <w:left w:w="120" w:type="dxa"/>
              <w:right w:w="120" w:type="dxa"/>
            </w:tcMar>
            <w:vAlign w:val="center"/>
          </w:tcPr>
          <w:p>
            <w:pPr>
              <w:spacing w:before="40" w:after="40"/>
              <w:jc w:val="right"/>
            </w:pPr>
            <w:r>
              <w:rPr>
                <w:rFonts w:ascii="Calibri" w:hAnsi="Calibri"/>
                <w:b/>
                <w:color w:val="334155"/>
                <w:sz w:val="20"/>
              </w:rPr>
              <w:t>13</w:t>
            </w:r>
          </w:p>
        </w:tc>
      </w:tr>
      <w:tr>
        <w:tc>
          <w:tcPr>
            <w:tcW w:type="dxa" w:w="8352"/>
            <w:shd w:fill="FFFFFF"/>
            <w:tcMar>
              <w:top w:w="80" w:type="dxa"/>
              <w:bottom w:w="80" w:type="dxa"/>
              <w:left w:w="120" w:type="dxa"/>
              <w:right w:w="120" w:type="dxa"/>
            </w:tcMar>
            <w:vAlign w:val="center"/>
          </w:tcPr>
          <w:p>
            <w:pPr>
              <w:spacing w:before="40" w:after="40"/>
            </w:pPr>
            <w:r>
              <w:rPr>
                <w:rFonts w:ascii="Calibri" w:hAnsi="Calibri"/>
                <w:b/>
                <w:color w:val="334155"/>
                <w:sz w:val="20"/>
              </w:rPr>
              <w:t>5. Formulación Matemática y Algoritmos de Ingeniería</w:t>
            </w:r>
          </w:p>
        </w:tc>
        <w:tc>
          <w:tcPr>
            <w:tcW w:type="dxa" w:w="1008"/>
            <w:shd w:fill="FFFFFF"/>
            <w:tcMar>
              <w:top w:w="80" w:type="dxa"/>
              <w:bottom w:w="80" w:type="dxa"/>
              <w:left w:w="120" w:type="dxa"/>
              <w:right w:w="120" w:type="dxa"/>
            </w:tcMar>
            <w:vAlign w:val="center"/>
          </w:tcPr>
          <w:p>
            <w:pPr>
              <w:spacing w:before="40" w:after="40"/>
              <w:jc w:val="right"/>
            </w:pPr>
            <w:r>
              <w:rPr>
                <w:rFonts w:ascii="Calibri" w:hAnsi="Calibri"/>
                <w:b/>
                <w:color w:val="334155"/>
                <w:sz w:val="20"/>
              </w:rPr>
              <w:t>14</w:t>
            </w:r>
          </w:p>
        </w:tc>
      </w:tr>
      <w:tr>
        <w:tc>
          <w:tcPr>
            <w:tcW w:type="dxa" w:w="8352"/>
            <w:shd w:fill="FFFFFF"/>
            <w:tcMar>
              <w:top w:w="80" w:type="dxa"/>
              <w:bottom w:w="80" w:type="dxa"/>
              <w:left w:w="120" w:type="dxa"/>
              <w:right w:w="120" w:type="dxa"/>
            </w:tcMar>
            <w:vAlign w:val="center"/>
          </w:tcPr>
          <w:p>
            <w:pPr>
              <w:spacing w:before="40" w:after="40"/>
            </w:pPr>
            <w:r>
              <w:rPr>
                <w:rFonts w:ascii="Calibri" w:hAnsi="Calibri"/>
                <w:b/>
                <w:color w:val="334155"/>
                <w:sz w:val="20"/>
              </w:rPr>
              <w:t>6. Preguntas Frecuentes y Buenas Prácticas (FAQ)</w:t>
            </w:r>
          </w:p>
        </w:tc>
        <w:tc>
          <w:tcPr>
            <w:tcW w:type="dxa" w:w="1008"/>
            <w:shd w:fill="FFFFFF"/>
            <w:tcMar>
              <w:top w:w="80" w:type="dxa"/>
              <w:bottom w:w="80" w:type="dxa"/>
              <w:left w:w="120" w:type="dxa"/>
              <w:right w:w="120" w:type="dxa"/>
            </w:tcMar>
            <w:vAlign w:val="center"/>
          </w:tcPr>
          <w:p>
            <w:pPr>
              <w:spacing w:before="40" w:after="40"/>
              <w:jc w:val="right"/>
            </w:pPr>
            <w:r>
              <w:rPr>
                <w:rFonts w:ascii="Calibri" w:hAnsi="Calibri"/>
                <w:b/>
                <w:color w:val="334155"/>
                <w:sz w:val="20"/>
              </w:rPr>
              <w:t>16</w:t>
            </w:r>
          </w:p>
        </w:tc>
      </w:tr>
    </w:tbl>
    <w:p>
      <w:r>
        <w:br w:type="page"/>
      </w:r>
    </w:p>
    <w:p>
      <w:pPr>
        <w:pStyle w:val="Heading1"/>
      </w:pPr>
      <w:r>
        <w:rPr>
          <w:color w:val="009FE3"/>
        </w:rPr>
        <w:t>1. Introducción y Propósito de la Plataforma</w:t>
      </w:r>
    </w:p>
    <w:p>
      <w:r>
        <w:t>El Simulador Fotovoltaico de ALP GROUP es una aplicación web integral de ingeniería y análisis económico-financiero, diseñada específicamente para el mercado de energía solar distribuida en Argentina. Su objetivo principal es permitir a ingenieros de preventa, asesores comerciales y directores de proyectos dimensionar con precisión técnica sistemas solares fotovoltaicos para clientes residenciales, comerciales, industriales y grandes usuarios, evaluando la rentabilidad de esquemas de compra directa llave en mano versus esquemas de financiamiento por leasing.</w:t>
      </w:r>
    </w:p>
    <w:tbl>
      <w:tblPr>
        <w:tblW w:type="auto" w:w="0"/>
        <w:jc w:val="center"/>
        <w:tblLayout w:type="fixed"/>
        <w:tblLook w:firstColumn="1" w:firstRow="1" w:lastColumn="0" w:lastRow="0" w:noHBand="0" w:noVBand="1" w:val="04A0"/>
      </w:tblPr>
      <w:tblGrid>
        <w:gridCol w:w="9360"/>
      </w:tblGrid>
      <w:tr>
        <w:tc>
          <w:tcPr>
            <w:tcW w:type="dxa" w:w="9360"/>
            <w:shd w:fill="F0F9FF"/>
            <w:tcMar>
              <w:top w:w="140" w:type="dxa"/>
              <w:bottom w:w="140" w:type="dxa"/>
              <w:left w:w="200" w:type="dxa"/>
              <w:right w:w="200" w:type="dxa"/>
            </w:tcMar>
            <w:tcBorders>
              <w:left w:val="single" w:sz="24" w:space="0" w:color="0284C7"/>
              <w:top w:val="none"/>
              <w:right w:val="none"/>
              <w:bottom w:val="none"/>
            </w:tcBorders>
          </w:tcPr>
          <w:p>
            <w:pPr>
              <w:spacing w:before="40" w:after="40"/>
            </w:pPr>
            <w:r>
              <w:rPr>
                <w:rFonts w:ascii="Calibri" w:hAnsi="Calibri"/>
                <w:b/>
                <w:color w:val="0284C7"/>
                <w:sz w:val="21"/>
              </w:rPr>
              <w:t xml:space="preserve">📌 ACCESO RÁPIDO A LA PLATAFORMA: </w:t>
            </w:r>
            <w:r>
              <w:rPr>
                <w:rFonts w:ascii="Calibri" w:hAnsi="Calibri"/>
                <w:color w:val="334155"/>
                <w:sz w:val="20"/>
              </w:rPr>
              <w:t>La aplicación no requiere instalación de software ni compilación. Se encuentra desplegada y lista para operar en https://alp-g-app.vercel.app y también puede ejecutarse de forma local u offline en cualquier navegador moderno.</w:t>
            </w:r>
          </w:p>
        </w:tc>
      </w:tr>
    </w:tbl>
    <w:p>
      <w:pPr>
        <w:spacing w:after="80"/>
      </w:pPr>
    </w:p>
    <w:p>
      <w:pPr>
        <w:pStyle w:val="Heading2"/>
      </w:pPr>
      <w:r>
        <w:t>Capacidades Principales:</w:t>
      </w:r>
    </w:p>
    <w:p>
      <w:pPr>
        <w:pStyle w:val="ListBullet"/>
      </w:pPr>
      <w:r>
        <w:rPr>
          <w:b/>
          <w:color w:val="009FE3"/>
        </w:rPr>
        <w:t xml:space="preserve">Dimensionamiento Inteligente de Cubierta: </w:t>
      </w:r>
      <w:r>
        <w:t>Calcula la potencia pico instalable y módulos a partir de los metros cuadrados (m²) de techo disponibles o por objetivo de cobertura de factura.</w:t>
      </w:r>
    </w:p>
    <w:p>
      <w:pPr>
        <w:pStyle w:val="ListBullet"/>
      </w:pPr>
      <w:r>
        <w:rPr>
          <w:b/>
          <w:color w:val="009FE3"/>
        </w:rPr>
        <w:t xml:space="preserve">Balance Energético Mensual y Curva Diaria: </w:t>
      </w:r>
      <w:r>
        <w:t>Simula la curva solar campana de 24 horas frente al perfil de consumo del cliente, integrando almacenamiento con baterías (BESS).</w:t>
      </w:r>
    </w:p>
    <w:p>
      <w:pPr>
        <w:pStyle w:val="ListBullet"/>
      </w:pPr>
      <w:r>
        <w:rPr>
          <w:b/>
          <w:color w:val="009FE3"/>
        </w:rPr>
        <w:t xml:space="preserve">Desglose de Pérdidas y PR: </w:t>
      </w:r>
      <w:r>
        <w:t>Modela factores térmicos, suciedad (soiling), tolerancia (mismatch), cableado DC/AC y rendimiento del inversor.</w:t>
      </w:r>
    </w:p>
    <w:p>
      <w:pPr>
        <w:pStyle w:val="ListBullet"/>
      </w:pPr>
      <w:r>
        <w:rPr>
          <w:b/>
          <w:color w:val="009FE3"/>
        </w:rPr>
        <w:t xml:space="preserve">Evaluación Financiera Integral: </w:t>
      </w:r>
      <w:r>
        <w:t>Cálculo en tiempo real de VAN (ARS/USD), TIR, Payback simple, Payback descontado, LCOE y ahorro acumulado a 20-30 años.</w:t>
      </w:r>
    </w:p>
    <w:p>
      <w:pPr>
        <w:pStyle w:val="ListBullet"/>
      </w:pPr>
      <w:r>
        <w:rPr>
          <w:b/>
          <w:color w:val="009FE3"/>
        </w:rPr>
        <w:t xml:space="preserve">Modelo Completo de Leasing vs. Contado: </w:t>
      </w:r>
      <w:r>
        <w:t>Incorpora canon periódico, seguro, mantenimiento, opción de compra y deducción en el Impuesto a las Ganancias.</w:t>
      </w:r>
    </w:p>
    <w:p>
      <w:pPr>
        <w:pStyle w:val="ListBullet"/>
      </w:pPr>
      <w:r>
        <w:rPr>
          <w:b/>
          <w:color w:val="009FE3"/>
        </w:rPr>
        <w:t xml:space="preserve">Matrices de Riesgo y Sensibilidad: </w:t>
      </w:r>
      <w:r>
        <w:t>Mapas de calor cruzados ante variaciones de tarifa eléctrica, CAPEX, inflación tarifaria y tasa de descuento.</w:t>
      </w:r>
    </w:p>
    <w:p>
      <w:pPr>
        <w:pStyle w:val="ListBullet"/>
      </w:pPr>
      <w:r>
        <w:rPr>
          <w:b/>
          <w:color w:val="009FE3"/>
        </w:rPr>
        <w:t xml:space="preserve">Propuesta Comercial Ejecutiva con Gráficos Vectoriales: </w:t>
      </w:r>
      <w:r>
        <w:t>Generación de cotizaciones formales listas para imprimir o exportar a PDF con membrete de ALP GROUP y gráficos SVG.</w:t>
      </w:r>
    </w:p>
    <w:p>
      <w:pPr>
        <w:pStyle w:val="Heading1"/>
      </w:pPr>
      <w:r>
        <w:rPr>
          <w:color w:val="009FE3"/>
        </w:rPr>
        <w:t>2. Arquitectura del Sistema y Persistencia Dual</w:t>
      </w:r>
    </w:p>
    <w:p>
      <w:r>
        <w:t>La aplicación implementa una capa de abstracción de datos unificada (DB) con persistencia dual:</w:t>
      </w:r>
    </w:p>
    <w:tbl>
      <w:tblPr>
        <w:tblW w:type="auto" w:w="0"/>
        <w:jc w:val="center"/>
        <w:tblLook w:firstColumn="1" w:firstRow="1" w:lastColumn="0" w:lastRow="0" w:noHBand="0" w:noVBand="1" w:val="04A0"/>
      </w:tblPr>
      <w:tblGrid>
        <w:gridCol w:w="2592"/>
        <w:gridCol w:w="3168"/>
        <w:gridCol w:w="3600"/>
      </w:tblGrid>
      <w:tr>
        <w:tc>
          <w:tcPr>
            <w:tcW w:type="dxa" w:w="3120"/>
            <w:shd w:fill="009FE3"/>
            <w:tcMar>
              <w:top w:w="80" w:type="dxa"/>
              <w:bottom w:w="80" w:type="dxa"/>
              <w:left w:w="120" w:type="dxa"/>
              <w:right w:w="120" w:type="dxa"/>
            </w:tcMar>
            <w:vAlign w:val="center"/>
          </w:tcPr>
          <w:p>
            <w:pPr>
              <w:spacing w:before="40" w:after="40"/>
            </w:pPr>
            <w:r>
              <w:rPr>
                <w:rFonts w:ascii="Calibri" w:hAnsi="Calibri"/>
                <w:b/>
                <w:color w:val="FFFFFF"/>
                <w:sz w:val="20"/>
              </w:rPr>
              <w:t>Modo de Operación</w:t>
            </w:r>
          </w:p>
        </w:tc>
        <w:tc>
          <w:tcPr>
            <w:tcW w:type="dxa" w:w="3120"/>
            <w:shd w:fill="009FE3"/>
            <w:tcMar>
              <w:top w:w="80" w:type="dxa"/>
              <w:bottom w:w="80" w:type="dxa"/>
              <w:left w:w="120" w:type="dxa"/>
              <w:right w:w="120" w:type="dxa"/>
            </w:tcMar>
            <w:vAlign w:val="center"/>
          </w:tcPr>
          <w:p>
            <w:pPr>
              <w:spacing w:before="40" w:after="40"/>
            </w:pPr>
            <w:r>
              <w:rPr>
                <w:rFonts w:ascii="Calibri" w:hAnsi="Calibri"/>
                <w:b/>
                <w:color w:val="FFFFFF"/>
                <w:sz w:val="20"/>
              </w:rPr>
              <w:t>Tecnología Base</w:t>
            </w:r>
          </w:p>
        </w:tc>
        <w:tc>
          <w:tcPr>
            <w:tcW w:type="dxa" w:w="3120"/>
            <w:shd w:fill="009FE3"/>
            <w:tcMar>
              <w:top w:w="80" w:type="dxa"/>
              <w:bottom w:w="80" w:type="dxa"/>
              <w:left w:w="120" w:type="dxa"/>
              <w:right w:w="120" w:type="dxa"/>
            </w:tcMar>
            <w:vAlign w:val="center"/>
          </w:tcPr>
          <w:p>
            <w:pPr>
              <w:spacing w:before="40" w:after="40"/>
            </w:pPr>
            <w:r>
              <w:rPr>
                <w:rFonts w:ascii="Calibri" w:hAnsi="Calibri"/>
                <w:b/>
                <w:color w:val="FFFFFF"/>
                <w:sz w:val="20"/>
              </w:rPr>
              <w:t>Casos de Uso Recomendados</w:t>
            </w:r>
          </w:p>
        </w:tc>
      </w:tr>
      <w:tr>
        <w:tc>
          <w:tcPr>
            <w:tcW w:type="dxa" w:w="3120"/>
            <w:shd w:fill="F8FAFC"/>
            <w:tcMar>
              <w:top w:w="80" w:type="dxa"/>
              <w:bottom w:w="80" w:type="dxa"/>
              <w:left w:w="120" w:type="dxa"/>
              <w:right w:w="120" w:type="dxa"/>
            </w:tcMar>
            <w:vAlign w:val="center"/>
          </w:tcPr>
          <w:p>
            <w:pPr>
              <w:spacing w:before="40" w:after="40"/>
            </w:pPr>
            <w:r>
              <w:rPr>
                <w:rFonts w:ascii="Calibri" w:hAnsi="Calibri"/>
                <w:b/>
                <w:color w:val="334155"/>
                <w:sz w:val="19"/>
              </w:rPr>
              <w:t>Modo Local (Offline)</w:t>
            </w:r>
          </w:p>
        </w:tc>
        <w:tc>
          <w:tcPr>
            <w:tcW w:type="dxa" w:w="3120"/>
            <w:shd w:fill="F8FAFC"/>
            <w:tcMar>
              <w:top w:w="80" w:type="dxa"/>
              <w:bottom w:w="80" w:type="dxa"/>
              <w:left w:w="120" w:type="dxa"/>
              <w:right w:w="120" w:type="dxa"/>
            </w:tcMar>
            <w:vAlign w:val="center"/>
          </w:tcPr>
          <w:p>
            <w:pPr>
              <w:spacing w:before="40" w:after="40"/>
            </w:pPr>
            <w:r>
              <w:rPr>
                <w:rFonts w:ascii="Calibri" w:hAnsi="Calibri"/>
                <w:b w:val="0"/>
                <w:color w:val="334155"/>
                <w:sz w:val="19"/>
              </w:rPr>
              <w:t>localStorage del navegador web</w:t>
            </w:r>
          </w:p>
        </w:tc>
        <w:tc>
          <w:tcPr>
            <w:tcW w:type="dxa" w:w="3120"/>
            <w:shd w:fill="F8FAFC"/>
            <w:tcMar>
              <w:top w:w="80" w:type="dxa"/>
              <w:bottom w:w="80" w:type="dxa"/>
              <w:left w:w="120" w:type="dxa"/>
              <w:right w:w="120" w:type="dxa"/>
            </w:tcMar>
            <w:vAlign w:val="center"/>
          </w:tcPr>
          <w:p>
            <w:pPr>
              <w:spacing w:before="40" w:after="40"/>
            </w:pPr>
            <w:r>
              <w:rPr>
                <w:rFonts w:ascii="Calibri" w:hAnsi="Calibri"/>
                <w:b w:val="0"/>
                <w:color w:val="334155"/>
                <w:sz w:val="19"/>
              </w:rPr>
              <w:t>Visitas técnicas en terreno, obras sin conexión a internet, simulaciones rápidas individuales sin login.</w:t>
            </w:r>
          </w:p>
        </w:tc>
      </w:tr>
      <w:tr>
        <w:tc>
          <w:tcPr>
            <w:tcW w:type="dxa" w:w="3120"/>
            <w:shd w:fill="FFFFFF"/>
            <w:tcMar>
              <w:top w:w="80" w:type="dxa"/>
              <w:bottom w:w="80" w:type="dxa"/>
              <w:left w:w="120" w:type="dxa"/>
              <w:right w:w="120" w:type="dxa"/>
            </w:tcMar>
            <w:vAlign w:val="center"/>
          </w:tcPr>
          <w:p>
            <w:pPr>
              <w:spacing w:before="40" w:after="40"/>
            </w:pPr>
            <w:r>
              <w:rPr>
                <w:rFonts w:ascii="Calibri" w:hAnsi="Calibri"/>
                <w:b/>
                <w:color w:val="334155"/>
                <w:sz w:val="19"/>
              </w:rPr>
              <w:t>Modo Nube (Cloud)</w:t>
            </w:r>
          </w:p>
        </w:tc>
        <w:tc>
          <w:tcPr>
            <w:tcW w:type="dxa" w:w="3120"/>
            <w:shd w:fill="FFFFFF"/>
            <w:tcMar>
              <w:top w:w="80" w:type="dxa"/>
              <w:bottom w:w="80" w:type="dxa"/>
              <w:left w:w="120" w:type="dxa"/>
              <w:right w:w="120" w:type="dxa"/>
            </w:tcMar>
            <w:vAlign w:val="center"/>
          </w:tcPr>
          <w:p>
            <w:pPr>
              <w:spacing w:before="40" w:after="40"/>
            </w:pPr>
            <w:r>
              <w:rPr>
                <w:rFonts w:ascii="Calibri" w:hAnsi="Calibri"/>
                <w:b w:val="0"/>
                <w:color w:val="334155"/>
                <w:sz w:val="19"/>
              </w:rPr>
              <w:t>Supabase (PostgreSQL + RLS + Auth)</w:t>
            </w:r>
          </w:p>
        </w:tc>
        <w:tc>
          <w:tcPr>
            <w:tcW w:type="dxa" w:w="3120"/>
            <w:shd w:fill="FFFFFF"/>
            <w:tcMar>
              <w:top w:w="80" w:type="dxa"/>
              <w:bottom w:w="80" w:type="dxa"/>
              <w:left w:w="120" w:type="dxa"/>
              <w:right w:w="120" w:type="dxa"/>
            </w:tcMar>
            <w:vAlign w:val="center"/>
          </w:tcPr>
          <w:p>
            <w:pPr>
              <w:spacing w:before="40" w:after="40"/>
            </w:pPr>
            <w:r>
              <w:rPr>
                <w:rFonts w:ascii="Calibri" w:hAnsi="Calibri"/>
                <w:b w:val="0"/>
                <w:color w:val="334155"/>
                <w:sz w:val="19"/>
              </w:rPr>
              <w:t>Trabajo colaborativo en equipo, catálogo centralizado de clientes, control de versiones y auditoría de proyectos.</w:t>
            </w:r>
          </w:p>
        </w:tc>
      </w:tr>
    </w:tbl>
    <w:p>
      <w:pPr>
        <w:spacing w:after="120"/>
      </w:pPr>
    </w:p>
    <w:p>
      <w:pPr>
        <w:pStyle w:val="Heading1"/>
      </w:pPr>
      <w:r>
        <w:rPr>
          <w:color w:val="009FE3"/>
        </w:rPr>
        <w:t>3. Guía Paso a Paso de las 7 Pestañas de Análisis</w:t>
      </w:r>
    </w:p>
    <w:p>
      <w:pPr>
        <w:pStyle w:val="Heading2"/>
      </w:pPr>
      <w:r>
        <w:t>3.1. Pestaña 📋 Datos &amp; Asistente de Dimensionamiento</w:t>
      </w:r>
    </w:p>
    <w:p>
      <w:r>
        <w:t>Es el punto de entrada para parametrizar el proyecto. Contiene formularios declarativos y herramientas de cálculo avanzadas:</w:t>
      </w:r>
    </w:p>
    <w:p>
      <w:pPr>
        <w:pStyle w:val="Heading3"/>
      </w:pPr>
      <w:r>
        <w:t>A. Asistente de Techado y Superficie (Herramienta Desplegable):</w:t>
      </w:r>
    </w:p>
    <w:p>
      <w:r>
        <w:t>Al presionar el encabezado '📐 Asistente de Dimensionamiento y Superficie de Techo', se despliegan dos modos de cálculo:</w:t>
      </w:r>
    </w:p>
    <w:tbl>
      <w:tblPr>
        <w:tblW w:type="auto" w:w="0"/>
        <w:jc w:val="center"/>
        <w:tblLook w:firstColumn="1" w:firstRow="1" w:lastColumn="0" w:lastRow="0" w:noHBand="0" w:noVBand="1" w:val="04A0"/>
      </w:tblPr>
      <w:tblGrid>
        <w:gridCol w:w="2592"/>
        <w:gridCol w:w="2448"/>
        <w:gridCol w:w="4320"/>
      </w:tblGrid>
      <w:tr>
        <w:tc>
          <w:tcPr>
            <w:tcW w:type="dxa" w:w="3120"/>
            <w:shd w:fill="009FE3"/>
            <w:tcMar>
              <w:top w:w="80" w:type="dxa"/>
              <w:bottom w:w="80" w:type="dxa"/>
              <w:left w:w="120" w:type="dxa"/>
              <w:right w:w="120" w:type="dxa"/>
            </w:tcMar>
            <w:vAlign w:val="center"/>
          </w:tcPr>
          <w:p>
            <w:pPr>
              <w:spacing w:before="40" w:after="40"/>
            </w:pPr>
            <w:r>
              <w:rPr>
                <w:rFonts w:ascii="Calibri" w:hAnsi="Calibri"/>
                <w:b/>
                <w:color w:val="FFFFFF"/>
                <w:sz w:val="19"/>
              </w:rPr>
              <w:t>Tipo de Cubierta</w:t>
            </w:r>
          </w:p>
        </w:tc>
        <w:tc>
          <w:tcPr>
            <w:tcW w:type="dxa" w:w="3120"/>
            <w:shd w:fill="009FE3"/>
            <w:tcMar>
              <w:top w:w="80" w:type="dxa"/>
              <w:bottom w:w="80" w:type="dxa"/>
              <w:left w:w="120" w:type="dxa"/>
              <w:right w:w="120" w:type="dxa"/>
            </w:tcMar>
            <w:vAlign w:val="center"/>
          </w:tcPr>
          <w:p>
            <w:pPr>
              <w:spacing w:before="40" w:after="40"/>
            </w:pPr>
            <w:r>
              <w:rPr>
                <w:rFonts w:ascii="Calibri" w:hAnsi="Calibri"/>
                <w:b/>
                <w:color w:val="FFFFFF"/>
                <w:sz w:val="19"/>
              </w:rPr>
              <w:t>Factor de Ocupación</w:t>
            </w:r>
          </w:p>
        </w:tc>
        <w:tc>
          <w:tcPr>
            <w:tcW w:type="dxa" w:w="3120"/>
            <w:shd w:fill="009FE3"/>
            <w:tcMar>
              <w:top w:w="80" w:type="dxa"/>
              <w:bottom w:w="80" w:type="dxa"/>
              <w:left w:w="120" w:type="dxa"/>
              <w:right w:w="120" w:type="dxa"/>
            </w:tcMar>
            <w:vAlign w:val="center"/>
          </w:tcPr>
          <w:p>
            <w:pPr>
              <w:spacing w:before="40" w:after="40"/>
            </w:pPr>
            <w:r>
              <w:rPr>
                <w:rFonts w:ascii="Calibri" w:hAnsi="Calibri"/>
                <w:b/>
                <w:color w:val="FFFFFF"/>
                <w:sz w:val="19"/>
              </w:rPr>
              <w:t>Criterio Técnico y Sobrecarga</w:t>
            </w:r>
          </w:p>
        </w:tc>
      </w:tr>
      <w:tr>
        <w:tc>
          <w:tcPr>
            <w:tcW w:type="dxa" w:w="3120"/>
            <w:shd w:fill="F8FAFC"/>
            <w:tcMar>
              <w:top w:w="80" w:type="dxa"/>
              <w:bottom w:w="80" w:type="dxa"/>
              <w:left w:w="120" w:type="dxa"/>
              <w:right w:w="120" w:type="dxa"/>
            </w:tcMar>
            <w:vAlign w:val="center"/>
          </w:tcPr>
          <w:p>
            <w:pPr>
              <w:spacing w:before="40" w:after="40"/>
            </w:pPr>
            <w:r>
              <w:rPr>
                <w:rFonts w:ascii="Calibri" w:hAnsi="Calibri"/>
                <w:b/>
                <w:color w:val="334155"/>
                <w:sz w:val="18"/>
              </w:rPr>
              <w:t>Techo de Chapa</w:t>
            </w:r>
          </w:p>
        </w:tc>
        <w:tc>
          <w:tcPr>
            <w:tcW w:type="dxa" w:w="3120"/>
            <w:shd w:fill="F8FAFC"/>
            <w:tcMar>
              <w:top w:w="80" w:type="dxa"/>
              <w:bottom w:w="80" w:type="dxa"/>
              <w:left w:w="120" w:type="dxa"/>
              <w:right w:w="120" w:type="dxa"/>
            </w:tcMar>
            <w:vAlign w:val="center"/>
          </w:tcPr>
          <w:p>
            <w:pPr>
              <w:spacing w:before="40" w:after="40"/>
            </w:pPr>
            <w:r>
              <w:rPr>
                <w:rFonts w:ascii="Calibri" w:hAnsi="Calibri"/>
                <w:b w:val="0"/>
                <w:color w:val="334155"/>
                <w:sz w:val="18"/>
              </w:rPr>
              <w:t>75 % de área útil</w:t>
            </w:r>
          </w:p>
        </w:tc>
        <w:tc>
          <w:tcPr>
            <w:tcW w:type="dxa" w:w="3120"/>
            <w:shd w:fill="F8FAFC"/>
            <w:tcMar>
              <w:top w:w="80" w:type="dxa"/>
              <w:bottom w:w="80" w:type="dxa"/>
              <w:left w:w="120" w:type="dxa"/>
              <w:right w:w="120" w:type="dxa"/>
            </w:tcMar>
            <w:vAlign w:val="center"/>
          </w:tcPr>
          <w:p>
            <w:pPr>
              <w:spacing w:before="40" w:after="40"/>
            </w:pPr>
            <w:r>
              <w:rPr>
                <w:rFonts w:ascii="Calibri" w:hAnsi="Calibri"/>
                <w:b w:val="0"/>
                <w:color w:val="334155"/>
                <w:sz w:val="18"/>
              </w:rPr>
              <w:t>Montaje coplanar directo sobre grecas. Sobrecarga estática: ~13.5 kg/m².</w:t>
            </w:r>
          </w:p>
        </w:tc>
      </w:tr>
      <w:tr>
        <w:tc>
          <w:tcPr>
            <w:tcW w:type="dxa" w:w="3120"/>
            <w:shd w:fill="FFFFFF"/>
            <w:tcMar>
              <w:top w:w="80" w:type="dxa"/>
              <w:bottom w:w="80" w:type="dxa"/>
              <w:left w:w="120" w:type="dxa"/>
              <w:right w:w="120" w:type="dxa"/>
            </w:tcMar>
            <w:vAlign w:val="center"/>
          </w:tcPr>
          <w:p>
            <w:pPr>
              <w:spacing w:before="40" w:after="40"/>
            </w:pPr>
            <w:r>
              <w:rPr>
                <w:rFonts w:ascii="Calibri" w:hAnsi="Calibri"/>
                <w:b/>
                <w:color w:val="334155"/>
                <w:sz w:val="18"/>
              </w:rPr>
              <w:t>Losa Plana</w:t>
            </w:r>
          </w:p>
        </w:tc>
        <w:tc>
          <w:tcPr>
            <w:tcW w:type="dxa" w:w="3120"/>
            <w:shd w:fill="FFFFFF"/>
            <w:tcMar>
              <w:top w:w="80" w:type="dxa"/>
              <w:bottom w:w="80" w:type="dxa"/>
              <w:left w:w="120" w:type="dxa"/>
              <w:right w:w="120" w:type="dxa"/>
            </w:tcMar>
            <w:vAlign w:val="center"/>
          </w:tcPr>
          <w:p>
            <w:pPr>
              <w:spacing w:before="40" w:after="40"/>
            </w:pPr>
            <w:r>
              <w:rPr>
                <w:rFonts w:ascii="Calibri" w:hAnsi="Calibri"/>
                <w:b w:val="0"/>
                <w:color w:val="334155"/>
                <w:sz w:val="18"/>
              </w:rPr>
              <w:t>55 % de área útil</w:t>
            </w:r>
          </w:p>
        </w:tc>
        <w:tc>
          <w:tcPr>
            <w:tcW w:type="dxa" w:w="3120"/>
            <w:shd w:fill="FFFFFF"/>
            <w:tcMar>
              <w:top w:w="80" w:type="dxa"/>
              <w:bottom w:w="80" w:type="dxa"/>
              <w:left w:w="120" w:type="dxa"/>
              <w:right w:w="120" w:type="dxa"/>
            </w:tcMar>
            <w:vAlign w:val="center"/>
          </w:tcPr>
          <w:p>
            <w:pPr>
              <w:spacing w:before="40" w:after="40"/>
            </w:pPr>
            <w:r>
              <w:rPr>
                <w:rFonts w:ascii="Calibri" w:hAnsi="Calibri"/>
                <w:b w:val="0"/>
                <w:color w:val="334155"/>
                <w:sz w:val="18"/>
              </w:rPr>
              <w:t>Estructura triangular inclinada con pasillos inter-filas para evitar sombras mutuas. Sobrecarga: ~22.0 kg/m².</w:t>
            </w:r>
          </w:p>
        </w:tc>
      </w:tr>
      <w:tr>
        <w:tc>
          <w:tcPr>
            <w:tcW w:type="dxa" w:w="3120"/>
            <w:shd w:fill="F8FAFC"/>
            <w:tcMar>
              <w:top w:w="80" w:type="dxa"/>
              <w:bottom w:w="80" w:type="dxa"/>
              <w:left w:w="120" w:type="dxa"/>
              <w:right w:w="120" w:type="dxa"/>
            </w:tcMar>
            <w:vAlign w:val="center"/>
          </w:tcPr>
          <w:p>
            <w:pPr>
              <w:spacing w:before="40" w:after="40"/>
            </w:pPr>
            <w:r>
              <w:rPr>
                <w:rFonts w:ascii="Calibri" w:hAnsi="Calibri"/>
                <w:b/>
                <w:color w:val="334155"/>
                <w:sz w:val="18"/>
              </w:rPr>
              <w:t>Techo de Tejas</w:t>
            </w:r>
          </w:p>
        </w:tc>
        <w:tc>
          <w:tcPr>
            <w:tcW w:type="dxa" w:w="3120"/>
            <w:shd w:fill="F8FAFC"/>
            <w:tcMar>
              <w:top w:w="80" w:type="dxa"/>
              <w:bottom w:w="80" w:type="dxa"/>
              <w:left w:w="120" w:type="dxa"/>
              <w:right w:w="120" w:type="dxa"/>
            </w:tcMar>
            <w:vAlign w:val="center"/>
          </w:tcPr>
          <w:p>
            <w:pPr>
              <w:spacing w:before="40" w:after="40"/>
            </w:pPr>
            <w:r>
              <w:rPr>
                <w:rFonts w:ascii="Calibri" w:hAnsi="Calibri"/>
                <w:b w:val="0"/>
                <w:color w:val="334155"/>
                <w:sz w:val="18"/>
              </w:rPr>
              <w:t>65 % de área útil</w:t>
            </w:r>
          </w:p>
        </w:tc>
        <w:tc>
          <w:tcPr>
            <w:tcW w:type="dxa" w:w="3120"/>
            <w:shd w:fill="F8FAFC"/>
            <w:tcMar>
              <w:top w:w="80" w:type="dxa"/>
              <w:bottom w:w="80" w:type="dxa"/>
              <w:left w:w="120" w:type="dxa"/>
              <w:right w:w="120" w:type="dxa"/>
            </w:tcMar>
            <w:vAlign w:val="center"/>
          </w:tcPr>
          <w:p>
            <w:pPr>
              <w:spacing w:before="40" w:after="40"/>
            </w:pPr>
            <w:r>
              <w:rPr>
                <w:rFonts w:ascii="Calibri" w:hAnsi="Calibri"/>
                <w:b w:val="0"/>
                <w:color w:val="334155"/>
                <w:sz w:val="18"/>
              </w:rPr>
              <w:t>Anclajes estructurales salvando quiebres de agua y obstáculos. Sobrecarga: ~16.0 kg/m².</w:t>
            </w:r>
          </w:p>
        </w:tc>
      </w:tr>
      <w:tr>
        <w:tc>
          <w:tcPr>
            <w:tcW w:type="dxa" w:w="3120"/>
            <w:shd w:fill="FFFFFF"/>
            <w:tcMar>
              <w:top w:w="80" w:type="dxa"/>
              <w:bottom w:w="80" w:type="dxa"/>
              <w:left w:w="120" w:type="dxa"/>
              <w:right w:w="120" w:type="dxa"/>
            </w:tcMar>
            <w:vAlign w:val="center"/>
          </w:tcPr>
          <w:p>
            <w:pPr>
              <w:spacing w:before="40" w:after="40"/>
            </w:pPr>
            <w:r>
              <w:rPr>
                <w:rFonts w:ascii="Calibri" w:hAnsi="Calibri"/>
                <w:b/>
                <w:color w:val="334155"/>
                <w:sz w:val="18"/>
              </w:rPr>
              <w:t>Suelo / Terreno</w:t>
            </w:r>
          </w:p>
        </w:tc>
        <w:tc>
          <w:tcPr>
            <w:tcW w:type="dxa" w:w="3120"/>
            <w:shd w:fill="FFFFFF"/>
            <w:tcMar>
              <w:top w:w="80" w:type="dxa"/>
              <w:bottom w:w="80" w:type="dxa"/>
              <w:left w:w="120" w:type="dxa"/>
              <w:right w:w="120" w:type="dxa"/>
            </w:tcMar>
            <w:vAlign w:val="center"/>
          </w:tcPr>
          <w:p>
            <w:pPr>
              <w:spacing w:before="40" w:after="40"/>
            </w:pPr>
            <w:r>
              <w:rPr>
                <w:rFonts w:ascii="Calibri" w:hAnsi="Calibri"/>
                <w:b w:val="0"/>
                <w:color w:val="334155"/>
                <w:sz w:val="18"/>
              </w:rPr>
              <w:t>50 % de área útil</w:t>
            </w:r>
          </w:p>
        </w:tc>
        <w:tc>
          <w:tcPr>
            <w:tcW w:type="dxa" w:w="3120"/>
            <w:shd w:fill="FFFFFF"/>
            <w:tcMar>
              <w:top w:w="80" w:type="dxa"/>
              <w:bottom w:w="80" w:type="dxa"/>
              <w:left w:w="120" w:type="dxa"/>
              <w:right w:w="120" w:type="dxa"/>
            </w:tcMar>
            <w:vAlign w:val="center"/>
          </w:tcPr>
          <w:p>
            <w:pPr>
              <w:spacing w:before="40" w:after="40"/>
            </w:pPr>
            <w:r>
              <w:rPr>
                <w:rFonts w:ascii="Calibri" w:hAnsi="Calibri"/>
                <w:b w:val="0"/>
                <w:color w:val="334155"/>
                <w:sz w:val="18"/>
              </w:rPr>
              <w:t>Estructuras fijas hincadas con calles de mantenimiento para parques solares. Sobrecarga: N/A.</w:t>
            </w:r>
          </w:p>
        </w:tc>
      </w:tr>
    </w:tbl>
    <w:p>
      <w:pPr>
        <w:spacing w:after="80"/>
      </w:pPr>
    </w:p>
    <w:p>
      <w:r>
        <w:t>Al presionar '⚡ Aplicar potencia y módulos al proyecto', el sistema actualiza automáticamente la cantidad de paneles, la potencia kWp y el tipo de montaje en el formulario general.</w:t>
      </w:r>
    </w:p>
    <w:p>
      <w:pPr>
        <w:pStyle w:val="Heading3"/>
      </w:pPr>
      <w:r>
        <w:t>B. Secciones del Formulario General:</w:t>
      </w:r>
    </w:p>
    <w:p>
      <w:pPr>
        <w:pStyle w:val="ListBullet"/>
      </w:pPr>
      <w:r>
        <w:rPr>
          <w:b/>
          <w:color w:val="009FE3"/>
        </w:rPr>
        <w:t xml:space="preserve">Cliente y Emplazamiento: </w:t>
      </w:r>
      <w:r>
        <w:t>Razón social, CUIT, ubicación y selector de ciudad argentina para autocompletar la radiación solar anual.</w:t>
      </w:r>
    </w:p>
    <w:p>
      <w:pPr>
        <w:pStyle w:val="ListBullet"/>
      </w:pPr>
      <w:r>
        <w:rPr>
          <w:b/>
          <w:color w:val="009FE3"/>
        </w:rPr>
        <w:t xml:space="preserve">Generación Fotovoltaica: </w:t>
      </w:r>
      <w:r>
        <w:t>Potencia kWp, costo unitario (U$D/kWp), tipo de cambio ($/USD), Performance Ratio (PR %), irradiación anual y degradación de paneles (%/año).</w:t>
      </w:r>
    </w:p>
    <w:p>
      <w:pPr>
        <w:pStyle w:val="ListBullet"/>
      </w:pPr>
      <w:r>
        <w:rPr>
          <w:b/>
          <w:color w:val="009FE3"/>
        </w:rPr>
        <w:t xml:space="preserve">Almacenamiento con Baterías (BESS): </w:t>
      </w:r>
      <w:r>
        <w:t>Habilitación de banco de acumulación, tecnología (Litio LFP / Gel), capacidad en kWh, costo unitario (U$D/kWh) y profundidad de descarga (DoD %). El sistema calcula automáticamente la autonomía de respaldo en horas.</w:t>
      </w:r>
    </w:p>
    <w:p>
      <w:pPr>
        <w:pStyle w:val="ListBullet"/>
      </w:pPr>
      <w:r>
        <w:rPr>
          <w:b/>
          <w:color w:val="009FE3"/>
        </w:rPr>
        <w:t xml:space="preserve">Tarifa Eléctrica e Impuestos: </w:t>
      </w:r>
      <w:r>
        <w:t>Tarifa monómica de energía ($/kWh) y tabla de impuestos provinciales/municipales con presets automáticos para EPE Santa Fe, Edenor/Edesur, EDEN, EPEC Córdoba, etc. Modalidad de inyección remunerada de excedentes.</w:t>
      </w:r>
    </w:p>
    <w:p>
      <w:pPr>
        <w:pStyle w:val="ListBullet"/>
      </w:pPr>
      <w:r>
        <w:rPr>
          <w:b/>
          <w:color w:val="009FE3"/>
        </w:rPr>
        <w:t xml:space="preserve">Parámetros Macroeconómicos: </w:t>
      </w:r>
      <w:r>
        <w:t>Horizonte de vida útil (20 a 30 años), tasa de descuento exigida (WACC %), aumento anual de tarifa (inflación energética %), OPEX anual (% CAPEX) y recambio programado de inversores.</w:t>
      </w:r>
    </w:p>
    <w:p>
      <w:pPr>
        <w:pStyle w:val="ListBullet"/>
      </w:pPr>
      <w:r>
        <w:rPr>
          <w:b/>
          <w:color w:val="009FE3"/>
        </w:rPr>
        <w:t xml:space="preserve">Financiamiento por Leasing: </w:t>
      </w:r>
      <w:r>
        <w:t>Canon mensual por kWp, plazo en meses (12 a 120), pago inicial de anticipo, valor residual / opción de compra, seguro anual, mantenimiento anual y alícuota deducible del Impuesto a las Ganancias (30% o 35%).</w:t>
      </w:r>
    </w:p>
    <w:p>
      <w:r>
        <w:br w:type="page"/>
      </w:r>
    </w:p>
    <w:p>
      <w:pPr>
        <w:pStyle w:val="Heading2"/>
      </w:pPr>
      <w:r>
        <w:t>3.2. Pestaña 🛰️ Techo &amp; 3D (Diseño Satelital y Cierre Express en 90s)</w:t>
      </w:r>
    </w:p>
    <w:p>
      <w:r>
        <w:t>Esta pestaña incorpora tecnología de vanguardia para cotizaciones inmediatas en campo (tablets) y presentaciones comerciales en videollamada. Permite realizar en solo 90 segundos lo que tradicionalmente demandaba visitas técnicas previas y software CAD complejo, integrando cuatro pilares tecnológicos:</w:t>
      </w:r>
    </w:p>
    <w:tbl>
      <w:tblPr>
        <w:tblW w:type="auto" w:w="0"/>
        <w:jc w:val="center"/>
        <w:tblLook w:firstColumn="1" w:firstRow="1" w:lastColumn="0" w:lastRow="0" w:noHBand="0" w:noVBand="1" w:val="04A0"/>
      </w:tblPr>
      <w:tblGrid>
        <w:gridCol w:w="3168"/>
        <w:gridCol w:w="6192"/>
      </w:tblGrid>
      <w:tr>
        <w:tc>
          <w:tcPr>
            <w:tcW w:type="dxa" w:w="4680"/>
            <w:shd w:fill="009FE3"/>
            <w:tcMar>
              <w:top w:w="80" w:type="dxa"/>
              <w:bottom w:w="80" w:type="dxa"/>
              <w:left w:w="120" w:type="dxa"/>
              <w:right w:w="120" w:type="dxa"/>
            </w:tcMar>
            <w:vAlign w:val="center"/>
          </w:tcPr>
          <w:p>
            <w:pPr>
              <w:spacing w:before="40" w:after="40"/>
            </w:pPr>
            <w:r>
              <w:rPr>
                <w:rFonts w:ascii="Calibri" w:hAnsi="Calibri"/>
                <w:b/>
                <w:color w:val="FFFFFF"/>
                <w:sz w:val="19"/>
              </w:rPr>
              <w:t>Pilar Tecnológico</w:t>
            </w:r>
          </w:p>
        </w:tc>
        <w:tc>
          <w:tcPr>
            <w:tcW w:type="dxa" w:w="4680"/>
            <w:shd w:fill="009FE3"/>
            <w:tcMar>
              <w:top w:w="80" w:type="dxa"/>
              <w:bottom w:w="80" w:type="dxa"/>
              <w:left w:w="120" w:type="dxa"/>
              <w:right w:w="120" w:type="dxa"/>
            </w:tcMar>
            <w:vAlign w:val="center"/>
          </w:tcPr>
          <w:p>
            <w:pPr>
              <w:spacing w:before="40" w:after="40"/>
            </w:pPr>
            <w:r>
              <w:rPr>
                <w:rFonts w:ascii="Calibri" w:hAnsi="Calibri"/>
                <w:b/>
                <w:color w:val="FFFFFF"/>
                <w:sz w:val="19"/>
              </w:rPr>
              <w:t>Implementación en ALP GROUP Simulador FV</w:t>
            </w:r>
          </w:p>
        </w:tc>
      </w:tr>
      <w:tr>
        <w:tc>
          <w:tcPr>
            <w:tcW w:type="dxa" w:w="4680"/>
            <w:shd w:fill="F8FAFC"/>
            <w:tcMar>
              <w:top w:w="80" w:type="dxa"/>
              <w:bottom w:w="80" w:type="dxa"/>
              <w:left w:w="120" w:type="dxa"/>
              <w:right w:w="120" w:type="dxa"/>
            </w:tcMar>
            <w:vAlign w:val="center"/>
          </w:tcPr>
          <w:p>
            <w:pPr>
              <w:spacing w:before="40" w:after="40"/>
            </w:pPr>
            <w:r>
              <w:rPr>
                <w:rFonts w:ascii="Calibri" w:hAnsi="Calibri"/>
                <w:b/>
                <w:color w:val="334155"/>
                <w:sz w:val="18"/>
              </w:rPr>
              <w:t>1. Visión y Detección de Techos</w:t>
            </w:r>
          </w:p>
        </w:tc>
        <w:tc>
          <w:tcPr>
            <w:tcW w:type="dxa" w:w="4680"/>
            <w:shd w:fill="F8FAFC"/>
            <w:tcMar>
              <w:top w:w="80" w:type="dxa"/>
              <w:bottom w:w="80" w:type="dxa"/>
              <w:left w:w="120" w:type="dxa"/>
              <w:right w:w="120" w:type="dxa"/>
            </w:tcMar>
            <w:vAlign w:val="center"/>
          </w:tcPr>
          <w:p>
            <w:pPr>
              <w:spacing w:before="40" w:after="40"/>
            </w:pPr>
            <w:r>
              <w:rPr>
                <w:rFonts w:ascii="Calibri" w:hAnsi="Calibri"/>
                <w:b w:val="0"/>
                <w:color w:val="334155"/>
                <w:sz w:val="18"/>
              </w:rPr>
              <w:t>Mosaico satelital de alta resolución (Esri World Imagery) y geocodificación de calles/parques industriales (OSM Nominatim). Herramienta de polígono interactivo para delimitar cubiertas, cálculo automático de azimut óptimo y gestor interactivo de obstáculos (Árboles, Chimeneas, Climatizadores HVAC, Domos/Tragaluces y Antenas) con radios y alturas configurables.</w:t>
            </w:r>
          </w:p>
        </w:tc>
      </w:tr>
      <w:tr>
        <w:tc>
          <w:tcPr>
            <w:tcW w:type="dxa" w:w="4680"/>
            <w:shd w:fill="FFFFFF"/>
            <w:tcMar>
              <w:top w:w="80" w:type="dxa"/>
              <w:bottom w:w="80" w:type="dxa"/>
              <w:left w:w="120" w:type="dxa"/>
              <w:right w:w="120" w:type="dxa"/>
            </w:tcMar>
            <w:vAlign w:val="center"/>
          </w:tcPr>
          <w:p>
            <w:pPr>
              <w:spacing w:before="40" w:after="40"/>
            </w:pPr>
            <w:r>
              <w:rPr>
                <w:rFonts w:ascii="Calibri" w:hAnsi="Calibri"/>
                <w:b/>
                <w:color w:val="334155"/>
                <w:sz w:val="18"/>
              </w:rPr>
              <w:t>2. Auto-Layout Inteligente y Tipos de Cubierta</w:t>
            </w:r>
          </w:p>
        </w:tc>
        <w:tc>
          <w:tcPr>
            <w:tcW w:type="dxa" w:w="4680"/>
            <w:shd w:fill="FFFFFF"/>
            <w:tcMar>
              <w:top w:w="80" w:type="dxa"/>
              <w:bottom w:w="80" w:type="dxa"/>
              <w:left w:w="120" w:type="dxa"/>
              <w:right w:w="120" w:type="dxa"/>
            </w:tcMar>
            <w:vAlign w:val="center"/>
          </w:tcPr>
          <w:p>
            <w:pPr>
              <w:spacing w:before="40" w:after="40"/>
            </w:pPr>
            <w:r>
              <w:rPr>
                <w:rFonts w:ascii="Calibri" w:hAnsi="Calibri"/>
                <w:b w:val="0"/>
                <w:color w:val="334155"/>
                <w:sz w:val="18"/>
              </w:rPr>
              <w:t>Algoritmo de empaquetado reticular que calcula la cantidad máxima de módulos (paneles de 575 Wp monocristalinos), potencia pico kWp instalable y factor de ocupación respetando pasillos perimetrales. Soporta cubiertas a Dos Aguas (cumbrera central), Un Agua (monopendiente) y Losa Plana (con muro parapeto perimetral y caballetes de aluminio elevados con espaciado anti-sombras calculado para el solsticio de invierno).</w:t>
            </w:r>
          </w:p>
        </w:tc>
      </w:tr>
      <w:tr>
        <w:tc>
          <w:tcPr>
            <w:tcW w:type="dxa" w:w="4680"/>
            <w:shd w:fill="F8FAFC"/>
            <w:tcMar>
              <w:top w:w="80" w:type="dxa"/>
              <w:bottom w:w="80" w:type="dxa"/>
              <w:left w:w="120" w:type="dxa"/>
              <w:right w:w="120" w:type="dxa"/>
            </w:tcMar>
            <w:vAlign w:val="center"/>
          </w:tcPr>
          <w:p>
            <w:pPr>
              <w:spacing w:before="40" w:after="40"/>
            </w:pPr>
            <w:r>
              <w:rPr>
                <w:rFonts w:ascii="Calibri" w:hAnsi="Calibri"/>
                <w:b/>
                <w:color w:val="334155"/>
                <w:sz w:val="18"/>
              </w:rPr>
              <w:t>3. Gemelo 3D, Cámaras y Sombras por Trazado de Rayos</w:t>
            </w:r>
          </w:p>
        </w:tc>
        <w:tc>
          <w:tcPr>
            <w:tcW w:type="dxa" w:w="4680"/>
            <w:shd w:fill="F8FAFC"/>
            <w:tcMar>
              <w:top w:w="80" w:type="dxa"/>
              <w:bottom w:w="80" w:type="dxa"/>
              <w:left w:w="120" w:type="dxa"/>
              <w:right w:w="120" w:type="dxa"/>
            </w:tcMar>
            <w:vAlign w:val="center"/>
          </w:tcPr>
          <w:p>
            <w:pPr>
              <w:spacing w:before="40" w:after="40"/>
            </w:pPr>
            <w:r>
              <w:rPr>
                <w:rFonts w:ascii="Calibri" w:hAnsi="Calibri"/>
                <w:b w:val="0"/>
                <w:color w:val="334155"/>
                <w:sz w:val="18"/>
              </w:rPr>
              <w:t>Motor gráfico WebGL interactivo (Three.js) con presets de cámara instantáneos (🛰️ Planta Cenital, 📐 Isométrica 45°, 🌅 Frontal/Rasante y 🔄 Reset). Posicionamiento astronómico del sol (Duffie &amp; Beckman) con slider de hora (06:00 a 19:00 hs) y mes. Incorpora simulación de sombras por Ray-Casting en tiempo real: los módulos bajo sombra se oscurecen dinámicamente en 3D y se calcula el porcentaje de atenuación actual y la pérdida anual estimada (% derate).</w:t>
            </w:r>
          </w:p>
        </w:tc>
      </w:tr>
      <w:tr>
        <w:tc>
          <w:tcPr>
            <w:tcW w:type="dxa" w:w="4680"/>
            <w:shd w:fill="FFFFFF"/>
            <w:tcMar>
              <w:top w:w="80" w:type="dxa"/>
              <w:bottom w:w="80" w:type="dxa"/>
              <w:left w:w="120" w:type="dxa"/>
              <w:right w:w="120" w:type="dxa"/>
            </w:tcMar>
            <w:vAlign w:val="center"/>
          </w:tcPr>
          <w:p>
            <w:pPr>
              <w:spacing w:before="40" w:after="40"/>
            </w:pPr>
            <w:r>
              <w:rPr>
                <w:rFonts w:ascii="Calibri" w:hAnsi="Calibri"/>
                <w:b/>
                <w:color w:val="334155"/>
                <w:sz w:val="18"/>
              </w:rPr>
              <w:t>4. Conexión Climática &amp; Cierre 90s</w:t>
            </w:r>
          </w:p>
        </w:tc>
        <w:tc>
          <w:tcPr>
            <w:tcW w:type="dxa" w:w="4680"/>
            <w:shd w:fill="FFFFFF"/>
            <w:tcMar>
              <w:top w:w="80" w:type="dxa"/>
              <w:bottom w:w="80" w:type="dxa"/>
              <w:left w:w="120" w:type="dxa"/>
              <w:right w:w="120" w:type="dxa"/>
            </w:tcMar>
            <w:vAlign w:val="center"/>
          </w:tcPr>
          <w:p>
            <w:pPr>
              <w:spacing w:before="40" w:after="40"/>
            </w:pPr>
            <w:r>
              <w:rPr>
                <w:rFonts w:ascii="Calibri" w:hAnsi="Calibri"/>
                <w:b w:val="0"/>
                <w:color w:val="334155"/>
                <w:sz w:val="18"/>
              </w:rPr>
              <w:t>Conexión a la API satelital de NASA POWER para radiación histórica y comparador financiero express: Ahorro mensual en factura eléctrica vs. Cuota del leasing no bancario de ALP Group, con cálculo de flujo neto, envío directo a WhatsApp, descarga de render 3D y volcador integral al proyecto (incluyendo pérdidas por sombras calculadas).</w:t>
            </w:r>
          </w:p>
        </w:tc>
      </w:tr>
    </w:tbl>
    <w:p>
      <w:pPr>
        <w:pStyle w:val="Heading3"/>
      </w:pPr>
      <w:r>
        <w:t>Guía Operativa Paso a Paso para el Asesor Comercial:</w:t>
      </w:r>
    </w:p>
    <w:p>
      <w:pPr>
        <w:pStyle w:val="ListBullet"/>
      </w:pPr>
      <w:r>
        <w:rPr>
          <w:b/>
          <w:color w:val="009FE3"/>
        </w:rPr>
        <w:t xml:space="preserve">1. Búsqueda y Localización Satelital: </w:t>
      </w:r>
      <w:r>
        <w:t>Ingresá el parque industrial, ciudad o dirección en el buscador (ej: 'Parque Industrial Hudson, Berazategui') o presioná '📍 Mi GPS' para volar directamente a la planta.</w:t>
      </w:r>
    </w:p>
    <w:p>
      <w:pPr>
        <w:pStyle w:val="ListBullet"/>
      </w:pPr>
      <w:r>
        <w:rPr>
          <w:b/>
          <w:color w:val="009FE3"/>
        </w:rPr>
        <w:t xml:space="preserve">2. Delimitación de la Cubierta: </w:t>
      </w:r>
      <w:r>
        <w:t>Podés optar por dos métodos instantáneos:</w:t>
        <w:br/>
        <w:t xml:space="preserve">  • Método A (Trazado Manual): Hacé clic en '✏️ Trazar Techo', marcá con un solo clic cada una de las 4 esquinas del galpón sobre la foto satelital, y finalizá presionando el botón verde '✅ Listo / Cerrar Techo' (o clic en el punto verde #1 / doble clic).</w:t>
        <w:br/>
        <w:t xml:space="preserve">  • Método B (Plantilla 90s): Centrá la fábrica en pantalla y presioná '🏭 Nave 1.200 m²', '🏢 Comercial 450 m²' o '🏬 Losa Plana 300 m²' para estampar la nave de inmediato.</w:t>
      </w:r>
    </w:p>
    <w:p>
      <w:pPr>
        <w:pStyle w:val="ListBullet"/>
      </w:pPr>
      <w:r>
        <w:rPr>
          <w:b/>
          <w:color w:val="009FE3"/>
        </w:rPr>
        <w:t xml:space="preserve">3. Optimización de Paneles y Orientación (Azimut): </w:t>
      </w:r>
      <w:r>
        <w:t>En el panel lateral podés seleccionar la potencia del módulo (575 Wp Topcon, 600 Wp o 550 Wp), orientación Vertical u Horizontal y rotar el Azimut para que las filas sigan la cumbrera del techo. Al pulsar '⚡ Auto-Optimizar Disposición de Paneles', el sistema recalcula la retícula en milisegundos con capacidad para mega-naves logísticas de hasta 8.000 módulos (14.000+ m²).</w:t>
      </w:r>
    </w:p>
    <w:p>
      <w:pPr>
        <w:pStyle w:val="ListBullet"/>
      </w:pPr>
      <w:r>
        <w:rPr>
          <w:b/>
          <w:color w:val="009FE3"/>
        </w:rPr>
        <w:t xml:space="preserve">4. Detección de Obstáculos y Sombras 3D: </w:t>
      </w:r>
      <w:r>
        <w:t>Presioná '🚫 Añadir Obstáculo' para marcar chimeneas, climatizadores HVAC, tragaluces o árboles linderos. El sistema excluirá los paneles en la zona de interferencia y el motor astronómico (Three.js) calculará la sombra solar arrojada a lo largo del año, deduciendo el porcentaje de pérdida anual (% derate).</w:t>
      </w:r>
    </w:p>
    <w:p>
      <w:pPr>
        <w:pStyle w:val="ListBullet"/>
      </w:pPr>
      <w:r>
        <w:rPr>
          <w:b/>
          <w:color w:val="009FE3"/>
        </w:rPr>
        <w:t xml:space="preserve">5. Transferencia al Proyecto y Cierre Comercial: </w:t>
      </w:r>
      <w:r>
        <w:t>Revisá el resumen financiero express (ahorro mensual vs. cuota de leasing). Al presionar '⚡ Aplicar al Proyecto', la potencia (kWp), cantidad de paneles, azimut, inclinación y factor de sombras se transfieren en tiempo real a todas las pestañas de ingeniería y finanzas del simulador.</w:t>
      </w:r>
    </w:p>
    <w:tbl>
      <w:tblPr>
        <w:tblW w:type="auto" w:w="0"/>
        <w:jc w:val="center"/>
        <w:tblLayout w:type="fixed"/>
        <w:tblLook w:firstColumn="1" w:firstRow="1" w:lastColumn="0" w:lastRow="0" w:noHBand="0" w:noVBand="1" w:val="04A0"/>
      </w:tblPr>
      <w:tblGrid>
        <w:gridCol w:w="9360"/>
      </w:tblGrid>
      <w:tr>
        <w:tc>
          <w:tcPr>
            <w:tcW w:type="dxa" w:w="9360"/>
            <w:shd w:fill="F0F9FF"/>
            <w:tcMar>
              <w:top w:w="140" w:type="dxa"/>
              <w:bottom w:w="140" w:type="dxa"/>
              <w:left w:w="200" w:type="dxa"/>
              <w:right w:w="200" w:type="dxa"/>
            </w:tcMar>
            <w:tcBorders>
              <w:left w:val="single" w:sz="24" w:space="0" w:color="0284C7"/>
              <w:top w:val="none"/>
              <w:right w:val="none"/>
              <w:bottom w:val="none"/>
            </w:tcBorders>
          </w:tcPr>
          <w:p>
            <w:pPr>
              <w:spacing w:before="40" w:after="40"/>
            </w:pPr>
            <w:r>
              <w:rPr>
                <w:rFonts w:ascii="Calibri" w:hAnsi="Calibri"/>
                <w:b/>
                <w:color w:val="0284C7"/>
                <w:sz w:val="21"/>
              </w:rPr>
              <w:t xml:space="preserve">📌 CIERRE COMERCIAL EN EL ACTO (90 SEGUNDOS): </w:t>
            </w:r>
            <w:r>
              <w:rPr>
                <w:rFonts w:ascii="Calibri" w:hAnsi="Calibri"/>
                <w:color w:val="334155"/>
                <w:sz w:val="20"/>
              </w:rPr>
              <w:t>Al presionar el botón '⚡ Aplicar al Proyecto', el sistema vuelca inmediatamente la potencia pico (kWp), cantidad de paneles, azimut, inclinación, superficie de cubierta y el factor de atenuación por sombras 3D calculado a todas las demás pestañas, recalculando el flujo de caja en el acto. El botón '💬 WhatsApp' abre un mensaje con el resumen y pitch comercial redactado para enviar al cliente durante la reunión, y el botón '📸 Foto 3D' descarga una captura fotorrealista en alta resolución del gemelo digital.</w:t>
            </w:r>
          </w:p>
        </w:tc>
      </w:tr>
    </w:tbl>
    <w:p>
      <w:pPr>
        <w:spacing w:after="80"/>
      </w:pPr>
    </w:p>
    <w:p>
      <w:r>
        <w:br w:type="page"/>
      </w:r>
    </w:p>
    <w:p>
      <w:pPr>
        <w:pStyle w:val="Heading2"/>
      </w:pPr>
      <w:r>
        <w:t>3.3. Pestaña ⚡ Energía, CO₂ y Desglose de Pérdidas Técnicas</w:t>
      </w:r>
    </w:p>
    <w:p>
      <w:r>
        <w:t>Permite auditar el comportamiento físico y energético del generador solar fotovoltaico:</w:t>
      </w:r>
    </w:p>
    <w:p>
      <w:pPr>
        <w:pStyle w:val="ListBullet"/>
      </w:pPr>
      <w:r>
        <w:rPr>
          <w:b/>
          <w:color w:val="009FE3"/>
        </w:rPr>
        <w:t xml:space="preserve">Balance Mensual Año 1: </w:t>
      </w:r>
      <w:r>
        <w:t>Tabla interactiva mes a mes con generación solar, consumo del cliente, autoconsumo directo, excedentes a red y ahorro económico.</w:t>
      </w:r>
    </w:p>
    <w:p>
      <w:pPr>
        <w:pStyle w:val="ListBullet"/>
      </w:pPr>
      <w:r>
        <w:rPr>
          <w:b/>
          <w:color w:val="009FE3"/>
        </w:rPr>
        <w:t xml:space="preserve">Estimación Solar Automática: </w:t>
      </w:r>
      <w:r>
        <w:t>Botón 'Estimar generación' que distribuye la producción anual (kWp × Irradiación × PR) utilizando la campana estacional del hemisferio sur para Argentina.</w:t>
      </w:r>
    </w:p>
    <w:p>
      <w:pPr>
        <w:pStyle w:val="ListBullet"/>
      </w:pPr>
      <w:r>
        <w:rPr>
          <w:b/>
          <w:color w:val="009FE3"/>
        </w:rPr>
        <w:t xml:space="preserve">Curva Diaria Horaria de 24 Horas: </w:t>
      </w:r>
      <w:r>
        <w:t>Simulación a nivel horario (0 a 23 hs) comparando la generación solar fotovoltaica con la curva de demanda típica del tipo de usuario (Residencial con picos noche, Comercial con consumo diurno, Industrial continuo). Si se configuraron baterías, simula el almacenamiento de excedentes al mediodía (11:00 a 15:00 hs) y la inyección/descarga durante el horario pico nocturno (18:00 a 22:00 hs).</w:t>
      </w:r>
    </w:p>
    <w:p>
      <w:pPr>
        <w:pStyle w:val="ListBullet"/>
      </w:pPr>
      <w:r>
        <w:rPr>
          <w:b/>
          <w:color w:val="009FE3"/>
        </w:rPr>
        <w:t xml:space="preserve">Diagrama de Pérdidas Técnicas (Sankey): </w:t>
      </w:r>
      <w:r>
        <w:t>Desglose de atenuaciones físicas del sistema: pérdidas térmicas por temperatura de celda (-4.2% a -6.2%), suciedad superficial/soiling (-3.0%), dispersión de módulos/mismatch (-1.5%), cableado DC (-1.2%), conversión del inversor (-2.1%) y cableado AC (-0.8%). Muestra el Performance Ratio (PR) real resultante.</w:t>
      </w:r>
    </w:p>
    <w:p>
      <w:pPr>
        <w:pStyle w:val="ListBullet"/>
      </w:pPr>
      <w:r>
        <w:rPr>
          <w:b/>
          <w:color w:val="009FE3"/>
        </w:rPr>
        <w:t xml:space="preserve">Impacto Ambiental ESG: </w:t>
      </w:r>
      <w:r>
        <w:t>Cálculo de toneladas de CO₂ evitadas por año y durante toda la vida útil (basado en el factor de emisión de la matriz eléctrica argentina SADI de 0.45 kg CO₂/kWh), árboles plantados equivalentes y kilómetros no emitidos en automóviles.</w:t>
      </w:r>
    </w:p>
    <w:p>
      <w:pPr>
        <w:pStyle w:val="Heading2"/>
      </w:pPr>
      <w:r>
        <w:t>3.4. Pestaña 📈 Resultados Económicos (Compra Directa)</w:t>
      </w:r>
    </w:p>
    <w:p>
      <w:r>
        <w:t>Modela la viabilidad financiera bajo la modalidad de adquisición directa llave en mano (CAPEX):</w:t>
      </w:r>
    </w:p>
    <w:tbl>
      <w:tblPr>
        <w:tblW w:type="auto" w:w="0"/>
        <w:jc w:val="center"/>
        <w:tblLook w:firstColumn="1" w:firstRow="1" w:lastColumn="0" w:lastRow="0" w:noHBand="0" w:noVBand="1" w:val="04A0"/>
      </w:tblPr>
      <w:tblGrid>
        <w:gridCol w:w="3168"/>
        <w:gridCol w:w="6192"/>
      </w:tblGrid>
      <w:tr>
        <w:tc>
          <w:tcPr>
            <w:tcW w:type="dxa" w:w="4680"/>
            <w:shd w:fill="009FE3"/>
            <w:tcMar>
              <w:top w:w="80" w:type="dxa"/>
              <w:bottom w:w="80" w:type="dxa"/>
              <w:left w:w="120" w:type="dxa"/>
              <w:right w:w="120" w:type="dxa"/>
            </w:tcMar>
            <w:vAlign w:val="center"/>
          </w:tcPr>
          <w:p>
            <w:pPr>
              <w:spacing w:before="40" w:after="40"/>
            </w:pPr>
            <w:r>
              <w:rPr>
                <w:rFonts w:ascii="Calibri" w:hAnsi="Calibri"/>
                <w:b/>
                <w:color w:val="FFFFFF"/>
                <w:sz w:val="19"/>
              </w:rPr>
              <w:t>Indicador Financiero</w:t>
            </w:r>
          </w:p>
        </w:tc>
        <w:tc>
          <w:tcPr>
            <w:tcW w:type="dxa" w:w="4680"/>
            <w:shd w:fill="009FE3"/>
            <w:tcMar>
              <w:top w:w="80" w:type="dxa"/>
              <w:bottom w:w="80" w:type="dxa"/>
              <w:left w:w="120" w:type="dxa"/>
              <w:right w:w="120" w:type="dxa"/>
            </w:tcMar>
            <w:vAlign w:val="center"/>
          </w:tcPr>
          <w:p>
            <w:pPr>
              <w:spacing w:before="40" w:after="40"/>
            </w:pPr>
            <w:r>
              <w:rPr>
                <w:rFonts w:ascii="Calibri" w:hAnsi="Calibri"/>
                <w:b/>
                <w:color w:val="FFFFFF"/>
                <w:sz w:val="19"/>
              </w:rPr>
              <w:t>Descripción e Interpretación</w:t>
            </w:r>
          </w:p>
        </w:tc>
      </w:tr>
      <w:tr>
        <w:tc>
          <w:tcPr>
            <w:tcW w:type="dxa" w:w="4680"/>
            <w:shd w:fill="F8FAFC"/>
            <w:tcMar>
              <w:top w:w="80" w:type="dxa"/>
              <w:bottom w:w="80" w:type="dxa"/>
              <w:left w:w="120" w:type="dxa"/>
              <w:right w:w="120" w:type="dxa"/>
            </w:tcMar>
            <w:vAlign w:val="center"/>
          </w:tcPr>
          <w:p>
            <w:pPr>
              <w:spacing w:before="40" w:after="40"/>
            </w:pPr>
            <w:r>
              <w:rPr>
                <w:rFonts w:ascii="Calibri" w:hAnsi="Calibri"/>
                <w:b/>
                <w:color w:val="334155"/>
                <w:sz w:val="18"/>
              </w:rPr>
              <w:t>VAN (Valor Actual Neto)</w:t>
            </w:r>
          </w:p>
        </w:tc>
        <w:tc>
          <w:tcPr>
            <w:tcW w:type="dxa" w:w="4680"/>
            <w:shd w:fill="F8FAFC"/>
            <w:tcMar>
              <w:top w:w="80" w:type="dxa"/>
              <w:bottom w:w="80" w:type="dxa"/>
              <w:left w:w="120" w:type="dxa"/>
              <w:right w:w="120" w:type="dxa"/>
            </w:tcMar>
            <w:vAlign w:val="center"/>
          </w:tcPr>
          <w:p>
            <w:pPr>
              <w:spacing w:before="40" w:after="40"/>
            </w:pPr>
            <w:r>
              <w:rPr>
                <w:rFonts w:ascii="Calibri" w:hAnsi="Calibri"/>
                <w:b w:val="0"/>
                <w:color w:val="334155"/>
                <w:sz w:val="18"/>
              </w:rPr>
              <w:t>Valor monetario agregado del proyecto descontado a la tasa de retorno exigida (WACC). Si VAN &gt; 0, el proyecto genera riqueza por encima del costo de oportunidad.</w:t>
            </w:r>
          </w:p>
        </w:tc>
      </w:tr>
      <w:tr>
        <w:tc>
          <w:tcPr>
            <w:tcW w:type="dxa" w:w="4680"/>
            <w:shd w:fill="FFFFFF"/>
            <w:tcMar>
              <w:top w:w="80" w:type="dxa"/>
              <w:bottom w:w="80" w:type="dxa"/>
              <w:left w:w="120" w:type="dxa"/>
              <w:right w:w="120" w:type="dxa"/>
            </w:tcMar>
            <w:vAlign w:val="center"/>
          </w:tcPr>
          <w:p>
            <w:pPr>
              <w:spacing w:before="40" w:after="40"/>
            </w:pPr>
            <w:r>
              <w:rPr>
                <w:rFonts w:ascii="Calibri" w:hAnsi="Calibri"/>
                <w:b/>
                <w:color w:val="334155"/>
                <w:sz w:val="18"/>
              </w:rPr>
              <w:t>TIR (Tasa Interna de Retorno)</w:t>
            </w:r>
          </w:p>
        </w:tc>
        <w:tc>
          <w:tcPr>
            <w:tcW w:type="dxa" w:w="4680"/>
            <w:shd w:fill="FFFFFF"/>
            <w:tcMar>
              <w:top w:w="80" w:type="dxa"/>
              <w:bottom w:w="80" w:type="dxa"/>
              <w:left w:w="120" w:type="dxa"/>
              <w:right w:w="120" w:type="dxa"/>
            </w:tcMar>
            <w:vAlign w:val="center"/>
          </w:tcPr>
          <w:p>
            <w:pPr>
              <w:spacing w:before="40" w:after="40"/>
            </w:pPr>
            <w:r>
              <w:rPr>
                <w:rFonts w:ascii="Calibri" w:hAnsi="Calibri"/>
                <w:b w:val="0"/>
                <w:color w:val="334155"/>
                <w:sz w:val="18"/>
              </w:rPr>
              <w:t>Tasa de rendimiento intrínseca del flujo de fondos. Se compara contra la tasa de descuento para validar la rentabilidad.</w:t>
            </w:r>
          </w:p>
        </w:tc>
      </w:tr>
      <w:tr>
        <w:tc>
          <w:tcPr>
            <w:tcW w:type="dxa" w:w="4680"/>
            <w:shd w:fill="F8FAFC"/>
            <w:tcMar>
              <w:top w:w="80" w:type="dxa"/>
              <w:bottom w:w="80" w:type="dxa"/>
              <w:left w:w="120" w:type="dxa"/>
              <w:right w:w="120" w:type="dxa"/>
            </w:tcMar>
            <w:vAlign w:val="center"/>
          </w:tcPr>
          <w:p>
            <w:pPr>
              <w:spacing w:before="40" w:after="40"/>
            </w:pPr>
            <w:r>
              <w:rPr>
                <w:rFonts w:ascii="Calibri" w:hAnsi="Calibri"/>
                <w:b/>
                <w:color w:val="334155"/>
                <w:sz w:val="18"/>
              </w:rPr>
              <w:t>Payback Simple</w:t>
            </w:r>
          </w:p>
        </w:tc>
        <w:tc>
          <w:tcPr>
            <w:tcW w:type="dxa" w:w="4680"/>
            <w:shd w:fill="F8FAFC"/>
            <w:tcMar>
              <w:top w:w="80" w:type="dxa"/>
              <w:bottom w:w="80" w:type="dxa"/>
              <w:left w:w="120" w:type="dxa"/>
              <w:right w:w="120" w:type="dxa"/>
            </w:tcMar>
            <w:vAlign w:val="center"/>
          </w:tcPr>
          <w:p>
            <w:pPr>
              <w:spacing w:before="40" w:after="40"/>
            </w:pPr>
            <w:r>
              <w:rPr>
                <w:rFonts w:ascii="Calibri" w:hAnsi="Calibri"/>
                <w:b w:val="0"/>
                <w:color w:val="334155"/>
                <w:sz w:val="18"/>
              </w:rPr>
              <w:t>Tiempo exacto (en años y meses) necesario para que los ahorros acumulados amortizen la inversión inicial total.</w:t>
            </w:r>
          </w:p>
        </w:tc>
      </w:tr>
      <w:tr>
        <w:tc>
          <w:tcPr>
            <w:tcW w:type="dxa" w:w="4680"/>
            <w:shd w:fill="FFFFFF"/>
            <w:tcMar>
              <w:top w:w="80" w:type="dxa"/>
              <w:bottom w:w="80" w:type="dxa"/>
              <w:left w:w="120" w:type="dxa"/>
              <w:right w:w="120" w:type="dxa"/>
            </w:tcMar>
            <w:vAlign w:val="center"/>
          </w:tcPr>
          <w:p>
            <w:pPr>
              <w:spacing w:before="40" w:after="40"/>
            </w:pPr>
            <w:r>
              <w:rPr>
                <w:rFonts w:ascii="Calibri" w:hAnsi="Calibri"/>
                <w:b/>
                <w:color w:val="334155"/>
                <w:sz w:val="18"/>
              </w:rPr>
              <w:t>Payback Descontado</w:t>
            </w:r>
          </w:p>
        </w:tc>
        <w:tc>
          <w:tcPr>
            <w:tcW w:type="dxa" w:w="4680"/>
            <w:shd w:fill="FFFFFF"/>
            <w:tcMar>
              <w:top w:w="80" w:type="dxa"/>
              <w:bottom w:w="80" w:type="dxa"/>
              <w:left w:w="120" w:type="dxa"/>
              <w:right w:w="120" w:type="dxa"/>
            </w:tcMar>
            <w:vAlign w:val="center"/>
          </w:tcPr>
          <w:p>
            <w:pPr>
              <w:spacing w:before="40" w:after="40"/>
            </w:pPr>
            <w:r>
              <w:rPr>
                <w:rFonts w:ascii="Calibri" w:hAnsi="Calibri"/>
                <w:b w:val="0"/>
                <w:color w:val="334155"/>
                <w:sz w:val="18"/>
              </w:rPr>
              <w:t>Tiempo de repago considerando el valor del dinero en el tiempo (flujos descontados al WACC).</w:t>
            </w:r>
          </w:p>
        </w:tc>
      </w:tr>
      <w:tr>
        <w:tc>
          <w:tcPr>
            <w:tcW w:type="dxa" w:w="4680"/>
            <w:shd w:fill="F8FAFC"/>
            <w:tcMar>
              <w:top w:w="80" w:type="dxa"/>
              <w:bottom w:w="80" w:type="dxa"/>
              <w:left w:w="120" w:type="dxa"/>
              <w:right w:w="120" w:type="dxa"/>
            </w:tcMar>
            <w:vAlign w:val="center"/>
          </w:tcPr>
          <w:p>
            <w:pPr>
              <w:spacing w:before="40" w:after="40"/>
            </w:pPr>
            <w:r>
              <w:rPr>
                <w:rFonts w:ascii="Calibri" w:hAnsi="Calibri"/>
                <w:b/>
                <w:color w:val="334155"/>
                <w:sz w:val="18"/>
              </w:rPr>
              <w:t>LCOE (Costo Nivelado de Energía)</w:t>
            </w:r>
          </w:p>
        </w:tc>
        <w:tc>
          <w:tcPr>
            <w:tcW w:type="dxa" w:w="4680"/>
            <w:shd w:fill="F8FAFC"/>
            <w:tcMar>
              <w:top w:w="80" w:type="dxa"/>
              <w:bottom w:w="80" w:type="dxa"/>
              <w:left w:w="120" w:type="dxa"/>
              <w:right w:w="120" w:type="dxa"/>
            </w:tcMar>
            <w:vAlign w:val="center"/>
          </w:tcPr>
          <w:p>
            <w:pPr>
              <w:spacing w:before="40" w:after="40"/>
            </w:pPr>
            <w:r>
              <w:rPr>
                <w:rFonts w:ascii="Calibri" w:hAnsi="Calibri"/>
                <w:b w:val="0"/>
                <w:color w:val="334155"/>
                <w:sz w:val="18"/>
              </w:rPr>
              <w:t>Costo neto de generar cada kWh a lo largo de toda la vida útil ($/kWh y ¢USD/kWh). Se compara contra la tarifa eléctrica de red.</w:t>
            </w:r>
          </w:p>
        </w:tc>
      </w:tr>
      <w:tr>
        <w:tc>
          <w:tcPr>
            <w:tcW w:type="dxa" w:w="4680"/>
            <w:shd w:fill="FFFFFF"/>
            <w:tcMar>
              <w:top w:w="80" w:type="dxa"/>
              <w:bottom w:w="80" w:type="dxa"/>
              <w:left w:w="120" w:type="dxa"/>
              <w:right w:w="120" w:type="dxa"/>
            </w:tcMar>
            <w:vAlign w:val="center"/>
          </w:tcPr>
          <w:p>
            <w:pPr>
              <w:spacing w:before="40" w:after="40"/>
            </w:pPr>
            <w:r>
              <w:rPr>
                <w:rFonts w:ascii="Calibri" w:hAnsi="Calibri"/>
                <w:b/>
                <w:color w:val="334155"/>
                <w:sz w:val="18"/>
              </w:rPr>
              <w:t>Ahorro Acumulado Total</w:t>
            </w:r>
          </w:p>
        </w:tc>
        <w:tc>
          <w:tcPr>
            <w:tcW w:type="dxa" w:w="4680"/>
            <w:shd w:fill="FFFFFF"/>
            <w:tcMar>
              <w:top w:w="80" w:type="dxa"/>
              <w:bottom w:w="80" w:type="dxa"/>
              <w:left w:w="120" w:type="dxa"/>
              <w:right w:w="120" w:type="dxa"/>
            </w:tcMar>
            <w:vAlign w:val="center"/>
          </w:tcPr>
          <w:p>
            <w:pPr>
              <w:spacing w:before="40" w:after="40"/>
            </w:pPr>
            <w:r>
              <w:rPr>
                <w:rFonts w:ascii="Calibri" w:hAnsi="Calibri"/>
                <w:b w:val="0"/>
                <w:color w:val="334155"/>
                <w:sz w:val="18"/>
              </w:rPr>
              <w:t>Suma total de ahorros proyectados en 20-30 años considerando degradación de paneles e inflación de tarifas.</w:t>
            </w:r>
          </w:p>
        </w:tc>
      </w:tr>
    </w:tbl>
    <w:tbl>
      <w:tblPr>
        <w:tblW w:type="auto" w:w="0"/>
        <w:jc w:val="center"/>
        <w:tblLayout w:type="fixed"/>
        <w:tblLook w:firstColumn="1" w:firstRow="1" w:lastColumn="0" w:lastRow="0" w:noHBand="0" w:noVBand="1" w:val="04A0"/>
      </w:tblPr>
      <w:tblGrid>
        <w:gridCol w:w="9360"/>
      </w:tblGrid>
      <w:tr>
        <w:tc>
          <w:tcPr>
            <w:tcW w:type="dxa" w:w="9360"/>
            <w:shd w:fill="F0F9FF"/>
            <w:tcMar>
              <w:top w:w="140" w:type="dxa"/>
              <w:bottom w:w="140" w:type="dxa"/>
              <w:left w:w="200" w:type="dxa"/>
              <w:right w:w="200" w:type="dxa"/>
            </w:tcMar>
            <w:tcBorders>
              <w:left w:val="single" w:sz="24" w:space="0" w:color="0284C7"/>
              <w:top w:val="none"/>
              <w:right w:val="none"/>
              <w:bottom w:val="none"/>
            </w:tcBorders>
          </w:tcPr>
          <w:p>
            <w:pPr>
              <w:spacing w:before="40" w:after="40"/>
            </w:pPr>
            <w:r>
              <w:rPr>
                <w:rFonts w:ascii="Calibri" w:hAnsi="Calibri"/>
                <w:b/>
                <w:color w:val="0284C7"/>
                <w:sz w:val="21"/>
              </w:rPr>
              <w:t xml:space="preserve">📌 CONMUTADOR DE MONEDA Y EXPORTACIÓN A EXCEL: </w:t>
            </w:r>
            <w:r>
              <w:rPr>
                <w:rFonts w:ascii="Calibri" w:hAnsi="Calibri"/>
                <w:color w:val="334155"/>
                <w:sz w:val="20"/>
              </w:rPr>
              <w:t>Podés presionar los botones [ ARS ($) ] y [ USD (U$D) ] en la barra superior de la pestaña para alternar instantáneamente todas las tarjetas de KPIs, gráficos de flujo de fondos y columnas de la tabla anual entre Pesos y Dólares al tipo de cambio oficial del proyecto. Además, el botón '📥 Descargar Flujo en Excel (CSV)' genera una planilla completa compatible con Microsoft Excel.</w:t>
            </w:r>
          </w:p>
        </w:tc>
      </w:tr>
    </w:tbl>
    <w:p>
      <w:pPr>
        <w:spacing w:after="80"/>
      </w:pPr>
    </w:p>
    <w:p>
      <w:r>
        <w:br w:type="page"/>
      </w:r>
    </w:p>
    <w:p>
      <w:pPr>
        <w:pStyle w:val="Heading2"/>
      </w:pPr>
      <w:r>
        <w:t>3.5. Pestaña 🏦 Leasing vs. Compra al Contado</w:t>
      </w:r>
    </w:p>
    <w:p>
      <w:r>
        <w:t>Permite presentar una alternativa de financiamiento donde el cliente no inmoviliza capital inicial elevado:</w:t>
      </w:r>
    </w:p>
    <w:p>
      <w:pPr>
        <w:pStyle w:val="ListBullet"/>
      </w:pPr>
      <w:r>
        <w:rPr>
          <w:b/>
          <w:color w:val="009FE3"/>
        </w:rPr>
        <w:t xml:space="preserve">Flujo Neto Mensual: </w:t>
      </w:r>
      <w:r>
        <w:t>Compara el ahorro eléctrico mensual generado por los paneles frente a la cuota integral de leasing (canon + seguro + mantenimiento). Si el ahorro mensual supera la cuota, el proyecto se autofinancia desde el mes 1.</w:t>
      </w:r>
    </w:p>
    <w:p>
      <w:pPr>
        <w:pStyle w:val="ListBullet"/>
      </w:pPr>
      <w:r>
        <w:rPr>
          <w:b/>
          <w:color w:val="009FE3"/>
        </w:rPr>
        <w:t xml:space="preserve">Escudo Fiscal en Ganancias: </w:t>
      </w:r>
      <w:r>
        <w:t>Calcula el ahorro impositivo resultante de deducir el canon, seguro y mantenimiento de la base imponible del Impuesto a las Ganancias (alícuota del 30% o 35%).</w:t>
      </w:r>
    </w:p>
    <w:p>
      <w:pPr>
        <w:pStyle w:val="ListBullet"/>
      </w:pPr>
      <w:r>
        <w:rPr>
          <w:b/>
          <w:color w:val="009FE3"/>
        </w:rPr>
        <w:t xml:space="preserve">Desglose del Costo Total: </w:t>
      </w:r>
      <w:r>
        <w:t>Tabla de desglose: Pago inicial + Suma de cánones + Seguros + Mantenimientos + Opción de compra final − Ahorro en Ganancias = Costo Neto del Leasing.</w:t>
      </w:r>
    </w:p>
    <w:p>
      <w:pPr>
        <w:pStyle w:val="ListBullet"/>
      </w:pPr>
      <w:r>
        <w:rPr>
          <w:b/>
          <w:color w:val="009FE3"/>
        </w:rPr>
        <w:t xml:space="preserve">Gráfico de Flujo Comparativo: </w:t>
      </w:r>
      <w:r>
        <w:t>Curva acumulada año por año enfrentando la opción Contado vs. Leasing.</w:t>
      </w:r>
    </w:p>
    <w:p>
      <w:pPr>
        <w:pStyle w:val="Heading2"/>
      </w:pPr>
      <w:r>
        <w:t>3.6. Pestaña 🎯 Análisis de Sensibilidad y Matrices de Riesgo</w:t>
      </w:r>
    </w:p>
    <w:p>
      <w:r>
        <w:t>Evalúa la robustez del proyecto ante variaciones del entorno macroeconómico y de precios mediante dos matrices cruzadas de mapa de calor:</w:t>
      </w:r>
    </w:p>
    <w:p>
      <w:r>
        <w:t>• Matriz 1 (Tarifa vs. CAPEX): Evalúa simultáneamente variaciones de -20% a +20% en el precio de la energía eléctrica y de -15% a +15% en el costo de instalación (U$D/kWp), mostrando el VAN resultante en cada intersección.</w:t>
        <w:br/>
        <w:t>• Matriz 2 (Inflación Tarifaria vs. Tasa de Descuento): Evalúa el VAN combinando tasas de descuento del 6% al 15% con distintos ritmos de ajuste tarifario anual.</w:t>
      </w:r>
    </w:p>
    <w:p>
      <w:pPr>
        <w:pStyle w:val="Heading2"/>
      </w:pPr>
      <w:r>
        <w:t>3.7. Pestaña ⚖️ Comparador Multi-Proyecto Lado a Lado</w:t>
      </w:r>
    </w:p>
    <w:p>
      <w:r>
        <w:t>Permite seleccionar varios proyectos o variantes de potencia guardadas (ej: 10 kWp vs. 30 kWp vs. 50 kWp) y compararlos en una sola tabla sinóptica evaluando CAPEX, generación anual, cobertura, VAN, TIR, Payback, LCOE y canon de leasing.</w:t>
      </w:r>
    </w:p>
    <w:p>
      <w:pPr>
        <w:pStyle w:val="Heading2"/>
      </w:pPr>
      <w:r>
        <w:t>3.8. Pestaña 📄 Propuesta Comercial Ejecutiva (PDF Imprimible)</w:t>
      </w:r>
    </w:p>
    <w:p>
      <w:r>
        <w:t>Genera una cotización formal ejecutiva lista para entregar al cliente. Incluye:</w:t>
      </w:r>
    </w:p>
    <w:p>
      <w:pPr>
        <w:pStyle w:val="ListBullet"/>
      </w:pPr>
      <w:r>
        <w:rPr>
          <w:b/>
          <w:color w:val="009FE3"/>
        </w:rPr>
        <w:t xml:space="preserve">Membrete Oficial: </w:t>
      </w:r>
      <w:r>
        <w:t>Logo de ALP GROUP, datos de la empresa, asesor responsable, teléfono, email y plazo de validez de la oferta en días.</w:t>
      </w:r>
    </w:p>
    <w:p>
      <w:pPr>
        <w:pStyle w:val="ListBullet"/>
      </w:pPr>
      <w:r>
        <w:rPr>
          <w:b/>
          <w:color w:val="009FE3"/>
        </w:rPr>
        <w:t xml:space="preserve">Ficha Técnica del Cliente &amp; Obra: </w:t>
      </w:r>
      <w:r>
        <w:t>Razón social, CUIT, ubicación, tipo de instalación y especificaciones de paneles, potencia pico y baterías.</w:t>
      </w:r>
    </w:p>
    <w:p>
      <w:pPr>
        <w:pStyle w:val="ListBullet"/>
      </w:pPr>
      <w:r>
        <w:rPr>
          <w:b/>
          <w:color w:val="009FE3"/>
        </w:rPr>
        <w:t xml:space="preserve">Gráficos Vectoriales SVG Integrados: </w:t>
      </w:r>
      <w:r>
        <w:t>Gráfico de barras de balance energético mensual y gráfico de curva de retorno financiero acumulado con el punto de Payback señalado.</w:t>
      </w:r>
    </w:p>
    <w:p>
      <w:pPr>
        <w:pStyle w:val="ListBullet"/>
      </w:pPr>
      <w:r>
        <w:rPr>
          <w:b/>
          <w:color w:val="009FE3"/>
        </w:rPr>
        <w:t xml:space="preserve">Comparativa Económica de Doble Opción: </w:t>
      </w:r>
      <w:r>
        <w:t>Resumen lado a lado de Compra Directa (Llave en mano) vs. Financiamiento por Leasing.</w:t>
      </w:r>
    </w:p>
    <w:p>
      <w:pPr>
        <w:pStyle w:val="ListBullet"/>
      </w:pPr>
      <w:r>
        <w:rPr>
          <w:b/>
          <w:color w:val="009FE3"/>
        </w:rPr>
        <w:t xml:space="preserve">Insignia de Certificación Ambiental: </w:t>
      </w:r>
      <w:r>
        <w:t>Distintivo ecológico destacando el aporte a la descarbonización y árboles equivalentes.</w:t>
      </w:r>
    </w:p>
    <w:p>
      <w:pPr>
        <w:pStyle w:val="ListBullet"/>
      </w:pPr>
      <w:r>
        <w:rPr>
          <w:b/>
          <w:color w:val="009FE3"/>
        </w:rPr>
        <w:t xml:space="preserve">Bloque de Firmas Formales: </w:t>
      </w:r>
      <w:r>
        <w:t>Líneas de firma para el responsable técnico de ALP GROUP y conformidad del cliente.</w:t>
      </w:r>
    </w:p>
    <w:p>
      <w:pPr>
        <w:pStyle w:val="ListBullet"/>
      </w:pPr>
      <w:r>
        <w:rPr>
          <w:b/>
          <w:color w:val="009FE3"/>
        </w:rPr>
        <w:t xml:space="preserve">Botón 'Imprimir / Guardar en PDF': </w:t>
      </w:r>
      <w:r>
        <w:t>Estilizado con reglas @media print para generar un PDF impecable sin barras ni elementos de interfaz.</w:t>
      </w:r>
    </w:p>
    <w:p>
      <w:r>
        <w:br w:type="page"/>
      </w:r>
    </w:p>
    <w:p>
      <w:pPr>
        <w:pStyle w:val="Heading1"/>
      </w:pPr>
      <w:r>
        <w:rPr>
          <w:color w:val="009FE3"/>
        </w:rPr>
        <w:t>4. Base de Datos Solar y Presets de Distribuidoras Argentinas</w:t>
      </w:r>
    </w:p>
    <w:p>
      <w:r>
        <w:t>El motor incluye datos de irradiación solar anual (kWh/m²) para más de 29 localidades y regiones argentinas:</w:t>
      </w:r>
    </w:p>
    <w:tbl>
      <w:tblPr>
        <w:tblW w:type="auto" w:w="0"/>
        <w:jc w:val="center"/>
        <w:tblLook w:firstColumn="1" w:firstRow="1" w:lastColumn="0" w:lastRow="0" w:noHBand="0" w:noVBand="1" w:val="04A0"/>
      </w:tblPr>
      <w:tblGrid>
        <w:gridCol w:w="3168"/>
        <w:gridCol w:w="1584"/>
        <w:gridCol w:w="3024"/>
        <w:gridCol w:w="1584"/>
      </w:tblGrid>
      <w:tr>
        <w:tc>
          <w:tcPr>
            <w:tcW w:type="dxa" w:w="2340"/>
            <w:shd w:fill="009FE3"/>
            <w:tcMar>
              <w:top w:w="80" w:type="dxa"/>
              <w:bottom w:w="80" w:type="dxa"/>
              <w:left w:w="120" w:type="dxa"/>
              <w:right w:w="120" w:type="dxa"/>
            </w:tcMar>
            <w:vAlign w:val="center"/>
          </w:tcPr>
          <w:p>
            <w:pPr>
              <w:spacing w:before="40" w:after="40"/>
            </w:pPr>
            <w:r>
              <w:rPr>
                <w:rFonts w:ascii="Calibri" w:hAnsi="Calibri"/>
                <w:b/>
                <w:color w:val="FFFFFF"/>
                <w:sz w:val="18"/>
              </w:rPr>
              <w:t>Región / Ciudad</w:t>
            </w:r>
          </w:p>
        </w:tc>
        <w:tc>
          <w:tcPr>
            <w:tcW w:type="dxa" w:w="2340"/>
            <w:shd w:fill="009FE3"/>
            <w:tcMar>
              <w:top w:w="80" w:type="dxa"/>
              <w:bottom w:w="80" w:type="dxa"/>
              <w:left w:w="120" w:type="dxa"/>
              <w:right w:w="120" w:type="dxa"/>
            </w:tcMar>
            <w:vAlign w:val="center"/>
          </w:tcPr>
          <w:p>
            <w:pPr>
              <w:spacing w:before="40" w:after="40"/>
            </w:pPr>
            <w:r>
              <w:rPr>
                <w:rFonts w:ascii="Calibri" w:hAnsi="Calibri"/>
                <w:b/>
                <w:color w:val="FFFFFF"/>
                <w:sz w:val="18"/>
              </w:rPr>
              <w:t>Irradiación</w:t>
            </w:r>
          </w:p>
        </w:tc>
        <w:tc>
          <w:tcPr>
            <w:tcW w:type="dxa" w:w="2340"/>
            <w:shd w:fill="009FE3"/>
            <w:tcMar>
              <w:top w:w="80" w:type="dxa"/>
              <w:bottom w:w="80" w:type="dxa"/>
              <w:left w:w="120" w:type="dxa"/>
              <w:right w:w="120" w:type="dxa"/>
            </w:tcMar>
            <w:vAlign w:val="center"/>
          </w:tcPr>
          <w:p>
            <w:pPr>
              <w:spacing w:before="40" w:after="40"/>
            </w:pPr>
            <w:r>
              <w:rPr>
                <w:rFonts w:ascii="Calibri" w:hAnsi="Calibri"/>
                <w:b/>
                <w:color w:val="FFFFFF"/>
                <w:sz w:val="18"/>
              </w:rPr>
              <w:t>Región / Ciudad</w:t>
            </w:r>
          </w:p>
        </w:tc>
        <w:tc>
          <w:tcPr>
            <w:tcW w:type="dxa" w:w="2340"/>
            <w:shd w:fill="009FE3"/>
            <w:tcMar>
              <w:top w:w="80" w:type="dxa"/>
              <w:bottom w:w="80" w:type="dxa"/>
              <w:left w:w="120" w:type="dxa"/>
              <w:right w:w="120" w:type="dxa"/>
            </w:tcMar>
            <w:vAlign w:val="center"/>
          </w:tcPr>
          <w:p>
            <w:pPr>
              <w:spacing w:before="40" w:after="40"/>
            </w:pPr>
            <w:r>
              <w:rPr>
                <w:rFonts w:ascii="Calibri" w:hAnsi="Calibri"/>
                <w:b/>
                <w:color w:val="FFFFFF"/>
                <w:sz w:val="18"/>
              </w:rPr>
              <w:t>Irradiación</w:t>
            </w:r>
          </w:p>
        </w:tc>
      </w:tr>
      <w:tr>
        <w:tc>
          <w:tcPr>
            <w:tcW w:type="dxa" w:w="2340"/>
            <w:shd w:fill="F8FAFC"/>
            <w:tcMar>
              <w:top w:w="80" w:type="dxa"/>
              <w:bottom w:w="80" w:type="dxa"/>
              <w:left w:w="120" w:type="dxa"/>
              <w:right w:w="120" w:type="dxa"/>
            </w:tcMar>
            <w:vAlign w:val="center"/>
          </w:tcPr>
          <w:p>
            <w:pPr>
              <w:spacing w:before="40" w:after="40"/>
            </w:pPr>
            <w:r>
              <w:rPr>
                <w:rFonts w:ascii="Calibri" w:hAnsi="Calibri"/>
                <w:b/>
                <w:color w:val="334155"/>
                <w:sz w:val="17"/>
              </w:rPr>
              <w:t>Buenos Aires (CABA / AMBA)</w:t>
            </w:r>
          </w:p>
        </w:tc>
        <w:tc>
          <w:tcPr>
            <w:tcW w:type="dxa" w:w="2340"/>
            <w:shd w:fill="F8FAFC"/>
            <w:tcMar>
              <w:top w:w="80" w:type="dxa"/>
              <w:bottom w:w="80" w:type="dxa"/>
              <w:left w:w="120" w:type="dxa"/>
              <w:right w:w="120" w:type="dxa"/>
            </w:tcMar>
            <w:vAlign w:val="center"/>
          </w:tcPr>
          <w:p>
            <w:pPr>
              <w:spacing w:before="40" w:after="40"/>
            </w:pPr>
            <w:r>
              <w:rPr>
                <w:rFonts w:ascii="Calibri" w:hAnsi="Calibri"/>
                <w:b w:val="0"/>
                <w:color w:val="334155"/>
                <w:sz w:val="17"/>
              </w:rPr>
              <w:t>1.750 kWh/m²</w:t>
            </w:r>
          </w:p>
        </w:tc>
        <w:tc>
          <w:tcPr>
            <w:tcW w:type="dxa" w:w="2340"/>
            <w:shd w:fill="F8FAFC"/>
            <w:tcMar>
              <w:top w:w="80" w:type="dxa"/>
              <w:bottom w:w="80" w:type="dxa"/>
              <w:left w:w="120" w:type="dxa"/>
              <w:right w:w="120" w:type="dxa"/>
            </w:tcMar>
            <w:vAlign w:val="center"/>
          </w:tcPr>
          <w:p>
            <w:pPr>
              <w:spacing w:before="40" w:after="40"/>
            </w:pPr>
            <w:r>
              <w:rPr>
                <w:rFonts w:ascii="Calibri" w:hAnsi="Calibri"/>
                <w:b/>
                <w:color w:val="334155"/>
                <w:sz w:val="17"/>
              </w:rPr>
              <w:t>Mendoza Capital</w:t>
            </w:r>
          </w:p>
        </w:tc>
        <w:tc>
          <w:tcPr>
            <w:tcW w:type="dxa" w:w="2340"/>
            <w:shd w:fill="F8FAFC"/>
            <w:tcMar>
              <w:top w:w="80" w:type="dxa"/>
              <w:bottom w:w="80" w:type="dxa"/>
              <w:left w:w="120" w:type="dxa"/>
              <w:right w:w="120" w:type="dxa"/>
            </w:tcMar>
            <w:vAlign w:val="center"/>
          </w:tcPr>
          <w:p>
            <w:pPr>
              <w:spacing w:before="40" w:after="40"/>
            </w:pPr>
            <w:r>
              <w:rPr>
                <w:rFonts w:ascii="Calibri" w:hAnsi="Calibri"/>
                <w:b w:val="0"/>
                <w:color w:val="334155"/>
                <w:sz w:val="17"/>
              </w:rPr>
              <w:t>2.050 kWh/m²</w:t>
            </w:r>
          </w:p>
        </w:tc>
      </w:tr>
      <w:tr>
        <w:tc>
          <w:tcPr>
            <w:tcW w:type="dxa" w:w="2340"/>
            <w:shd w:fill="FFFFFF"/>
            <w:tcMar>
              <w:top w:w="80" w:type="dxa"/>
              <w:bottom w:w="80" w:type="dxa"/>
              <w:left w:w="120" w:type="dxa"/>
              <w:right w:w="120" w:type="dxa"/>
            </w:tcMar>
            <w:vAlign w:val="center"/>
          </w:tcPr>
          <w:p>
            <w:pPr>
              <w:spacing w:before="40" w:after="40"/>
            </w:pPr>
            <w:r>
              <w:rPr>
                <w:rFonts w:ascii="Calibri" w:hAnsi="Calibri"/>
                <w:b/>
                <w:color w:val="334155"/>
                <w:sz w:val="17"/>
              </w:rPr>
              <w:t>La Plata</w:t>
            </w:r>
          </w:p>
        </w:tc>
        <w:tc>
          <w:tcPr>
            <w:tcW w:type="dxa" w:w="2340"/>
            <w:shd w:fill="FFFFFF"/>
            <w:tcMar>
              <w:top w:w="80" w:type="dxa"/>
              <w:bottom w:w="80" w:type="dxa"/>
              <w:left w:w="120" w:type="dxa"/>
              <w:right w:w="120" w:type="dxa"/>
            </w:tcMar>
            <w:vAlign w:val="center"/>
          </w:tcPr>
          <w:p>
            <w:pPr>
              <w:spacing w:before="40" w:after="40"/>
            </w:pPr>
            <w:r>
              <w:rPr>
                <w:rFonts w:ascii="Calibri" w:hAnsi="Calibri"/>
                <w:b w:val="0"/>
                <w:color w:val="334155"/>
                <w:sz w:val="17"/>
              </w:rPr>
              <w:t>1.740 kWh/m²</w:t>
            </w:r>
          </w:p>
        </w:tc>
        <w:tc>
          <w:tcPr>
            <w:tcW w:type="dxa" w:w="2340"/>
            <w:shd w:fill="FFFFFF"/>
            <w:tcMar>
              <w:top w:w="80" w:type="dxa"/>
              <w:bottom w:w="80" w:type="dxa"/>
              <w:left w:w="120" w:type="dxa"/>
              <w:right w:w="120" w:type="dxa"/>
            </w:tcMar>
            <w:vAlign w:val="center"/>
          </w:tcPr>
          <w:p>
            <w:pPr>
              <w:spacing w:before="40" w:after="40"/>
            </w:pPr>
            <w:r>
              <w:rPr>
                <w:rFonts w:ascii="Calibri" w:hAnsi="Calibri"/>
                <w:b/>
                <w:color w:val="334155"/>
                <w:sz w:val="17"/>
              </w:rPr>
              <w:t>San Juan Capital</w:t>
            </w:r>
          </w:p>
        </w:tc>
        <w:tc>
          <w:tcPr>
            <w:tcW w:type="dxa" w:w="2340"/>
            <w:shd w:fill="FFFFFF"/>
            <w:tcMar>
              <w:top w:w="80" w:type="dxa"/>
              <w:bottom w:w="80" w:type="dxa"/>
              <w:left w:w="120" w:type="dxa"/>
              <w:right w:w="120" w:type="dxa"/>
            </w:tcMar>
            <w:vAlign w:val="center"/>
          </w:tcPr>
          <w:p>
            <w:pPr>
              <w:spacing w:before="40" w:after="40"/>
            </w:pPr>
            <w:r>
              <w:rPr>
                <w:rFonts w:ascii="Calibri" w:hAnsi="Calibri"/>
                <w:b w:val="0"/>
                <w:color w:val="334155"/>
                <w:sz w:val="17"/>
              </w:rPr>
              <w:t>2.180 kWh/m²</w:t>
            </w:r>
          </w:p>
        </w:tc>
      </w:tr>
      <w:tr>
        <w:tc>
          <w:tcPr>
            <w:tcW w:type="dxa" w:w="2340"/>
            <w:shd w:fill="F8FAFC"/>
            <w:tcMar>
              <w:top w:w="80" w:type="dxa"/>
              <w:bottom w:w="80" w:type="dxa"/>
              <w:left w:w="120" w:type="dxa"/>
              <w:right w:w="120" w:type="dxa"/>
            </w:tcMar>
            <w:vAlign w:val="center"/>
          </w:tcPr>
          <w:p>
            <w:pPr>
              <w:spacing w:before="40" w:after="40"/>
            </w:pPr>
            <w:r>
              <w:rPr>
                <w:rFonts w:ascii="Calibri" w:hAnsi="Calibri"/>
                <w:b/>
                <w:color w:val="334155"/>
                <w:sz w:val="17"/>
              </w:rPr>
              <w:t>Mar del Plata / Costa</w:t>
            </w:r>
          </w:p>
        </w:tc>
        <w:tc>
          <w:tcPr>
            <w:tcW w:type="dxa" w:w="2340"/>
            <w:shd w:fill="F8FAFC"/>
            <w:tcMar>
              <w:top w:w="80" w:type="dxa"/>
              <w:bottom w:w="80" w:type="dxa"/>
              <w:left w:w="120" w:type="dxa"/>
              <w:right w:w="120" w:type="dxa"/>
            </w:tcMar>
            <w:vAlign w:val="center"/>
          </w:tcPr>
          <w:p>
            <w:pPr>
              <w:spacing w:before="40" w:after="40"/>
            </w:pPr>
            <w:r>
              <w:rPr>
                <w:rFonts w:ascii="Calibri" w:hAnsi="Calibri"/>
                <w:b w:val="0"/>
                <w:color w:val="334155"/>
                <w:sz w:val="17"/>
              </w:rPr>
              <w:t>1.680 kWh/m²</w:t>
            </w:r>
          </w:p>
        </w:tc>
        <w:tc>
          <w:tcPr>
            <w:tcW w:type="dxa" w:w="2340"/>
            <w:shd w:fill="F8FAFC"/>
            <w:tcMar>
              <w:top w:w="80" w:type="dxa"/>
              <w:bottom w:w="80" w:type="dxa"/>
              <w:left w:w="120" w:type="dxa"/>
              <w:right w:w="120" w:type="dxa"/>
            </w:tcMar>
            <w:vAlign w:val="center"/>
          </w:tcPr>
          <w:p>
            <w:pPr>
              <w:spacing w:before="40" w:after="40"/>
            </w:pPr>
            <w:r>
              <w:rPr>
                <w:rFonts w:ascii="Calibri" w:hAnsi="Calibri"/>
                <w:b/>
                <w:color w:val="334155"/>
                <w:sz w:val="17"/>
              </w:rPr>
              <w:t>Salta Capital</w:t>
            </w:r>
          </w:p>
        </w:tc>
        <w:tc>
          <w:tcPr>
            <w:tcW w:type="dxa" w:w="2340"/>
            <w:shd w:fill="F8FAFC"/>
            <w:tcMar>
              <w:top w:w="80" w:type="dxa"/>
              <w:bottom w:w="80" w:type="dxa"/>
              <w:left w:w="120" w:type="dxa"/>
              <w:right w:w="120" w:type="dxa"/>
            </w:tcMar>
            <w:vAlign w:val="center"/>
          </w:tcPr>
          <w:p>
            <w:pPr>
              <w:spacing w:before="40" w:after="40"/>
            </w:pPr>
            <w:r>
              <w:rPr>
                <w:rFonts w:ascii="Calibri" w:hAnsi="Calibri"/>
                <w:b w:val="0"/>
                <w:color w:val="334155"/>
                <w:sz w:val="17"/>
              </w:rPr>
              <w:t>2.120 kWh/m²</w:t>
            </w:r>
          </w:p>
        </w:tc>
      </w:tr>
      <w:tr>
        <w:tc>
          <w:tcPr>
            <w:tcW w:type="dxa" w:w="2340"/>
            <w:shd w:fill="FFFFFF"/>
            <w:tcMar>
              <w:top w:w="80" w:type="dxa"/>
              <w:bottom w:w="80" w:type="dxa"/>
              <w:left w:w="120" w:type="dxa"/>
              <w:right w:w="120" w:type="dxa"/>
            </w:tcMar>
            <w:vAlign w:val="center"/>
          </w:tcPr>
          <w:p>
            <w:pPr>
              <w:spacing w:before="40" w:after="40"/>
            </w:pPr>
            <w:r>
              <w:rPr>
                <w:rFonts w:ascii="Calibri" w:hAnsi="Calibri"/>
                <w:b/>
                <w:color w:val="334155"/>
                <w:sz w:val="17"/>
              </w:rPr>
              <w:t>Bahía Blanca</w:t>
            </w:r>
          </w:p>
        </w:tc>
        <w:tc>
          <w:tcPr>
            <w:tcW w:type="dxa" w:w="2340"/>
            <w:shd w:fill="FFFFFF"/>
            <w:tcMar>
              <w:top w:w="80" w:type="dxa"/>
              <w:bottom w:w="80" w:type="dxa"/>
              <w:left w:w="120" w:type="dxa"/>
              <w:right w:w="120" w:type="dxa"/>
            </w:tcMar>
            <w:vAlign w:val="center"/>
          </w:tcPr>
          <w:p>
            <w:pPr>
              <w:spacing w:before="40" w:after="40"/>
            </w:pPr>
            <w:r>
              <w:rPr>
                <w:rFonts w:ascii="Calibri" w:hAnsi="Calibri"/>
                <w:b w:val="0"/>
                <w:color w:val="334155"/>
                <w:sz w:val="17"/>
              </w:rPr>
              <w:t>1.820 kWh/m²</w:t>
            </w:r>
          </w:p>
        </w:tc>
        <w:tc>
          <w:tcPr>
            <w:tcW w:type="dxa" w:w="2340"/>
            <w:shd w:fill="FFFFFF"/>
            <w:tcMar>
              <w:top w:w="80" w:type="dxa"/>
              <w:bottom w:w="80" w:type="dxa"/>
              <w:left w:w="120" w:type="dxa"/>
              <w:right w:w="120" w:type="dxa"/>
            </w:tcMar>
            <w:vAlign w:val="center"/>
          </w:tcPr>
          <w:p>
            <w:pPr>
              <w:spacing w:before="40" w:after="40"/>
            </w:pPr>
            <w:r>
              <w:rPr>
                <w:rFonts w:ascii="Calibri" w:hAnsi="Calibri"/>
                <w:b/>
                <w:color w:val="334155"/>
                <w:sz w:val="17"/>
              </w:rPr>
              <w:t>Puna Jujeña / Cauchari</w:t>
            </w:r>
          </w:p>
        </w:tc>
        <w:tc>
          <w:tcPr>
            <w:tcW w:type="dxa" w:w="2340"/>
            <w:shd w:fill="FFFFFF"/>
            <w:tcMar>
              <w:top w:w="80" w:type="dxa"/>
              <w:bottom w:w="80" w:type="dxa"/>
              <w:left w:w="120" w:type="dxa"/>
              <w:right w:w="120" w:type="dxa"/>
            </w:tcMar>
            <w:vAlign w:val="center"/>
          </w:tcPr>
          <w:p>
            <w:pPr>
              <w:spacing w:before="40" w:after="40"/>
            </w:pPr>
            <w:r>
              <w:rPr>
                <w:rFonts w:ascii="Calibri" w:hAnsi="Calibri"/>
                <w:b w:val="0"/>
                <w:color w:val="334155"/>
                <w:sz w:val="17"/>
              </w:rPr>
              <w:t>2.450 kWh/m²</w:t>
            </w:r>
          </w:p>
        </w:tc>
      </w:tr>
      <w:tr>
        <w:tc>
          <w:tcPr>
            <w:tcW w:type="dxa" w:w="2340"/>
            <w:shd w:fill="F8FAFC"/>
            <w:tcMar>
              <w:top w:w="80" w:type="dxa"/>
              <w:bottom w:w="80" w:type="dxa"/>
              <w:left w:w="120" w:type="dxa"/>
              <w:right w:w="120" w:type="dxa"/>
            </w:tcMar>
            <w:vAlign w:val="center"/>
          </w:tcPr>
          <w:p>
            <w:pPr>
              <w:spacing w:before="40" w:after="40"/>
            </w:pPr>
            <w:r>
              <w:rPr>
                <w:rFonts w:ascii="Calibri" w:hAnsi="Calibri"/>
                <w:b/>
                <w:color w:val="334155"/>
                <w:sz w:val="17"/>
              </w:rPr>
              <w:t>Rosario</w:t>
            </w:r>
          </w:p>
        </w:tc>
        <w:tc>
          <w:tcPr>
            <w:tcW w:type="dxa" w:w="2340"/>
            <w:shd w:fill="F8FAFC"/>
            <w:tcMar>
              <w:top w:w="80" w:type="dxa"/>
              <w:bottom w:w="80" w:type="dxa"/>
              <w:left w:w="120" w:type="dxa"/>
              <w:right w:w="120" w:type="dxa"/>
            </w:tcMar>
            <w:vAlign w:val="center"/>
          </w:tcPr>
          <w:p>
            <w:pPr>
              <w:spacing w:before="40" w:after="40"/>
            </w:pPr>
            <w:r>
              <w:rPr>
                <w:rFonts w:ascii="Calibri" w:hAnsi="Calibri"/>
                <w:b w:val="0"/>
                <w:color w:val="334155"/>
                <w:sz w:val="17"/>
              </w:rPr>
              <w:t>1.820 kWh/m²</w:t>
            </w:r>
          </w:p>
        </w:tc>
        <w:tc>
          <w:tcPr>
            <w:tcW w:type="dxa" w:w="2340"/>
            <w:shd w:fill="F8FAFC"/>
            <w:tcMar>
              <w:top w:w="80" w:type="dxa"/>
              <w:bottom w:w="80" w:type="dxa"/>
              <w:left w:w="120" w:type="dxa"/>
              <w:right w:w="120" w:type="dxa"/>
            </w:tcMar>
            <w:vAlign w:val="center"/>
          </w:tcPr>
          <w:p>
            <w:pPr>
              <w:spacing w:before="40" w:after="40"/>
            </w:pPr>
            <w:r>
              <w:rPr>
                <w:rFonts w:ascii="Calibri" w:hAnsi="Calibri"/>
                <w:b/>
                <w:color w:val="334155"/>
                <w:sz w:val="17"/>
              </w:rPr>
              <w:t>Neuquén / Alto Valle</w:t>
            </w:r>
          </w:p>
        </w:tc>
        <w:tc>
          <w:tcPr>
            <w:tcW w:type="dxa" w:w="2340"/>
            <w:shd w:fill="F8FAFC"/>
            <w:tcMar>
              <w:top w:w="80" w:type="dxa"/>
              <w:bottom w:w="80" w:type="dxa"/>
              <w:left w:w="120" w:type="dxa"/>
              <w:right w:w="120" w:type="dxa"/>
            </w:tcMar>
            <w:vAlign w:val="center"/>
          </w:tcPr>
          <w:p>
            <w:pPr>
              <w:spacing w:before="40" w:after="40"/>
            </w:pPr>
            <w:r>
              <w:rPr>
                <w:rFonts w:ascii="Calibri" w:hAnsi="Calibri"/>
                <w:b w:val="0"/>
                <w:color w:val="334155"/>
                <w:sz w:val="17"/>
              </w:rPr>
              <w:t>1.880 kWh/m²</w:t>
            </w:r>
          </w:p>
        </w:tc>
      </w:tr>
      <w:tr>
        <w:tc>
          <w:tcPr>
            <w:tcW w:type="dxa" w:w="2340"/>
            <w:shd w:fill="FFFFFF"/>
            <w:tcMar>
              <w:top w:w="80" w:type="dxa"/>
              <w:bottom w:w="80" w:type="dxa"/>
              <w:left w:w="120" w:type="dxa"/>
              <w:right w:w="120" w:type="dxa"/>
            </w:tcMar>
            <w:vAlign w:val="center"/>
          </w:tcPr>
          <w:p>
            <w:pPr>
              <w:spacing w:before="40" w:after="40"/>
            </w:pPr>
            <w:r>
              <w:rPr>
                <w:rFonts w:ascii="Calibri" w:hAnsi="Calibri"/>
                <w:b/>
                <w:color w:val="334155"/>
                <w:sz w:val="17"/>
              </w:rPr>
              <w:t>Santa Fe Capital</w:t>
            </w:r>
          </w:p>
        </w:tc>
        <w:tc>
          <w:tcPr>
            <w:tcW w:type="dxa" w:w="2340"/>
            <w:shd w:fill="FFFFFF"/>
            <w:tcMar>
              <w:top w:w="80" w:type="dxa"/>
              <w:bottom w:w="80" w:type="dxa"/>
              <w:left w:w="120" w:type="dxa"/>
              <w:right w:w="120" w:type="dxa"/>
            </w:tcMar>
            <w:vAlign w:val="center"/>
          </w:tcPr>
          <w:p>
            <w:pPr>
              <w:spacing w:before="40" w:after="40"/>
            </w:pPr>
            <w:r>
              <w:rPr>
                <w:rFonts w:ascii="Calibri" w:hAnsi="Calibri"/>
                <w:b w:val="0"/>
                <w:color w:val="334155"/>
                <w:sz w:val="17"/>
              </w:rPr>
              <w:t>1.835 kWh/m²</w:t>
            </w:r>
          </w:p>
        </w:tc>
        <w:tc>
          <w:tcPr>
            <w:tcW w:type="dxa" w:w="2340"/>
            <w:shd w:fill="FFFFFF"/>
            <w:tcMar>
              <w:top w:w="80" w:type="dxa"/>
              <w:bottom w:w="80" w:type="dxa"/>
              <w:left w:w="120" w:type="dxa"/>
              <w:right w:w="120" w:type="dxa"/>
            </w:tcMar>
            <w:vAlign w:val="center"/>
          </w:tcPr>
          <w:p>
            <w:pPr>
              <w:spacing w:before="40" w:after="40"/>
            </w:pPr>
            <w:r>
              <w:rPr>
                <w:rFonts w:ascii="Calibri" w:hAnsi="Calibri"/>
                <w:b/>
                <w:color w:val="334155"/>
                <w:sz w:val="17"/>
              </w:rPr>
              <w:t>Bariloche / Cordillera</w:t>
            </w:r>
          </w:p>
        </w:tc>
        <w:tc>
          <w:tcPr>
            <w:tcW w:type="dxa" w:w="2340"/>
            <w:shd w:fill="FFFFFF"/>
            <w:tcMar>
              <w:top w:w="80" w:type="dxa"/>
              <w:bottom w:w="80" w:type="dxa"/>
              <w:left w:w="120" w:type="dxa"/>
              <w:right w:w="120" w:type="dxa"/>
            </w:tcMar>
            <w:vAlign w:val="center"/>
          </w:tcPr>
          <w:p>
            <w:pPr>
              <w:spacing w:before="40" w:after="40"/>
            </w:pPr>
            <w:r>
              <w:rPr>
                <w:rFonts w:ascii="Calibri" w:hAnsi="Calibri"/>
                <w:b w:val="0"/>
                <w:color w:val="334155"/>
                <w:sz w:val="17"/>
              </w:rPr>
              <w:t>1.620 kWh/m²</w:t>
            </w:r>
          </w:p>
        </w:tc>
      </w:tr>
      <w:tr>
        <w:tc>
          <w:tcPr>
            <w:tcW w:type="dxa" w:w="2340"/>
            <w:shd w:fill="F8FAFC"/>
            <w:tcMar>
              <w:top w:w="80" w:type="dxa"/>
              <w:bottom w:w="80" w:type="dxa"/>
              <w:left w:w="120" w:type="dxa"/>
              <w:right w:w="120" w:type="dxa"/>
            </w:tcMar>
            <w:vAlign w:val="center"/>
          </w:tcPr>
          <w:p>
            <w:pPr>
              <w:spacing w:before="40" w:after="40"/>
            </w:pPr>
            <w:r>
              <w:rPr>
                <w:rFonts w:ascii="Calibri" w:hAnsi="Calibri"/>
                <w:b/>
                <w:color w:val="334155"/>
                <w:sz w:val="17"/>
              </w:rPr>
              <w:t>Córdoba Capital</w:t>
            </w:r>
          </w:p>
        </w:tc>
        <w:tc>
          <w:tcPr>
            <w:tcW w:type="dxa" w:w="2340"/>
            <w:shd w:fill="F8FAFC"/>
            <w:tcMar>
              <w:top w:w="80" w:type="dxa"/>
              <w:bottom w:w="80" w:type="dxa"/>
              <w:left w:w="120" w:type="dxa"/>
              <w:right w:w="120" w:type="dxa"/>
            </w:tcMar>
            <w:vAlign w:val="center"/>
          </w:tcPr>
          <w:p>
            <w:pPr>
              <w:spacing w:before="40" w:after="40"/>
            </w:pPr>
            <w:r>
              <w:rPr>
                <w:rFonts w:ascii="Calibri" w:hAnsi="Calibri"/>
                <w:b w:val="0"/>
                <w:color w:val="334155"/>
                <w:sz w:val="17"/>
              </w:rPr>
              <w:t>1.910 kWh/m²</w:t>
            </w:r>
          </w:p>
        </w:tc>
        <w:tc>
          <w:tcPr>
            <w:tcW w:type="dxa" w:w="2340"/>
            <w:shd w:fill="F8FAFC"/>
            <w:tcMar>
              <w:top w:w="80" w:type="dxa"/>
              <w:bottom w:w="80" w:type="dxa"/>
              <w:left w:w="120" w:type="dxa"/>
              <w:right w:w="120" w:type="dxa"/>
            </w:tcMar>
            <w:vAlign w:val="center"/>
          </w:tcPr>
          <w:p>
            <w:pPr>
              <w:spacing w:before="40" w:after="40"/>
            </w:pPr>
            <w:r>
              <w:rPr>
                <w:rFonts w:ascii="Calibri" w:hAnsi="Calibri"/>
                <w:b/>
                <w:color w:val="334155"/>
                <w:sz w:val="17"/>
              </w:rPr>
              <w:t>Resistencia / Corrientes</w:t>
            </w:r>
          </w:p>
        </w:tc>
        <w:tc>
          <w:tcPr>
            <w:tcW w:type="dxa" w:w="2340"/>
            <w:shd w:fill="F8FAFC"/>
            <w:tcMar>
              <w:top w:w="80" w:type="dxa"/>
              <w:bottom w:w="80" w:type="dxa"/>
              <w:left w:w="120" w:type="dxa"/>
              <w:right w:w="120" w:type="dxa"/>
            </w:tcMar>
            <w:vAlign w:val="center"/>
          </w:tcPr>
          <w:p>
            <w:pPr>
              <w:spacing w:before="40" w:after="40"/>
            </w:pPr>
            <w:r>
              <w:rPr>
                <w:rFonts w:ascii="Calibri" w:hAnsi="Calibri"/>
                <w:b w:val="0"/>
                <w:color w:val="334155"/>
                <w:sz w:val="17"/>
              </w:rPr>
              <w:t>1.840 kWh/m²</w:t>
            </w:r>
          </w:p>
        </w:tc>
      </w:tr>
      <w:tr>
        <w:tc>
          <w:tcPr>
            <w:tcW w:type="dxa" w:w="2340"/>
            <w:shd w:fill="FFFFFF"/>
            <w:tcMar>
              <w:top w:w="80" w:type="dxa"/>
              <w:bottom w:w="80" w:type="dxa"/>
              <w:left w:w="120" w:type="dxa"/>
              <w:right w:w="120" w:type="dxa"/>
            </w:tcMar>
            <w:vAlign w:val="center"/>
          </w:tcPr>
          <w:p>
            <w:pPr>
              <w:spacing w:before="40" w:after="40"/>
            </w:pPr>
            <w:r>
              <w:rPr>
                <w:rFonts w:ascii="Calibri" w:hAnsi="Calibri"/>
                <w:b/>
                <w:color w:val="334155"/>
                <w:sz w:val="17"/>
              </w:rPr>
              <w:t>Río Cuarto / Villa María</w:t>
            </w:r>
          </w:p>
        </w:tc>
        <w:tc>
          <w:tcPr>
            <w:tcW w:type="dxa" w:w="2340"/>
            <w:shd w:fill="FFFFFF"/>
            <w:tcMar>
              <w:top w:w="80" w:type="dxa"/>
              <w:bottom w:w="80" w:type="dxa"/>
              <w:left w:w="120" w:type="dxa"/>
              <w:right w:w="120" w:type="dxa"/>
            </w:tcMar>
            <w:vAlign w:val="center"/>
          </w:tcPr>
          <w:p>
            <w:pPr>
              <w:spacing w:before="40" w:after="40"/>
            </w:pPr>
            <w:r>
              <w:rPr>
                <w:rFonts w:ascii="Calibri" w:hAnsi="Calibri"/>
                <w:b w:val="0"/>
                <w:color w:val="334155"/>
                <w:sz w:val="17"/>
              </w:rPr>
              <w:t>1.890 kWh/m²</w:t>
            </w:r>
          </w:p>
        </w:tc>
        <w:tc>
          <w:tcPr>
            <w:tcW w:type="dxa" w:w="2340"/>
            <w:shd w:fill="FFFFFF"/>
            <w:tcMar>
              <w:top w:w="80" w:type="dxa"/>
              <w:bottom w:w="80" w:type="dxa"/>
              <w:left w:w="120" w:type="dxa"/>
              <w:right w:w="120" w:type="dxa"/>
            </w:tcMar>
            <w:vAlign w:val="center"/>
          </w:tcPr>
          <w:p>
            <w:pPr>
              <w:spacing w:before="40" w:after="40"/>
            </w:pPr>
            <w:r>
              <w:rPr>
                <w:rFonts w:ascii="Calibri" w:hAnsi="Calibri"/>
                <w:b/>
                <w:color w:val="334155"/>
                <w:sz w:val="17"/>
              </w:rPr>
              <w:t>Posadas / Iguazú</w:t>
            </w:r>
          </w:p>
        </w:tc>
        <w:tc>
          <w:tcPr>
            <w:tcW w:type="dxa" w:w="2340"/>
            <w:shd w:fill="FFFFFF"/>
            <w:tcMar>
              <w:top w:w="80" w:type="dxa"/>
              <w:bottom w:w="80" w:type="dxa"/>
              <w:left w:w="120" w:type="dxa"/>
              <w:right w:w="120" w:type="dxa"/>
            </w:tcMar>
            <w:vAlign w:val="center"/>
          </w:tcPr>
          <w:p>
            <w:pPr>
              <w:spacing w:before="40" w:after="40"/>
            </w:pPr>
            <w:r>
              <w:rPr>
                <w:rFonts w:ascii="Calibri" w:hAnsi="Calibri"/>
                <w:b w:val="0"/>
                <w:color w:val="334155"/>
                <w:sz w:val="17"/>
              </w:rPr>
              <w:t>1.780 kWh/m²</w:t>
            </w:r>
          </w:p>
        </w:tc>
      </w:tr>
    </w:tbl>
    <w:p>
      <w:pPr>
        <w:spacing w:after="160"/>
      </w:pPr>
    </w:p>
    <w:p>
      <w:pPr>
        <w:pStyle w:val="Heading2"/>
      </w:pPr>
      <w:r>
        <w:t>Presets de Distribuidoras Eléctricas:</w:t>
      </w:r>
    </w:p>
    <w:p>
      <w:r>
        <w:t>• EPE Santa Fe: Ley 7797 (6%), Ley 13.414 FER (1.5%), Alumbrado Público CAP (0.2%), Ley 12692.</w:t>
        <w:br/>
        <w:t>• Edenor / Edesur (AMBA): Contribución Municipal Art. 34 (6.424%), Dec-Ley 7290 (1%), Tasa Alumbrado (1.43%).</w:t>
        <w:br/>
        <w:t>• EDEN / EDEA / EDES (Pcia. Bs. As.): Ley 11969 (6%), Ley 7290 (1%), Ley 11769 FCT (3.5%), Alumbrado (0.24%).</w:t>
        <w:br/>
        <w:t>• EPEC Córdoba: FODEP (10%), Tasa Reg. Dec. 2298/00 (1.044%), Res. 27/15 Seguridad Eléctrica (0.261%).</w:t>
      </w:r>
    </w:p>
    <w:p>
      <w:r>
        <w:br w:type="page"/>
      </w:r>
    </w:p>
    <w:p>
      <w:pPr>
        <w:pStyle w:val="Heading1"/>
      </w:pPr>
      <w:r>
        <w:rPr>
          <w:color w:val="009FE3"/>
        </w:rPr>
        <w:t>5. Formulación Matemática, Modelos Físicos y Algoritmos de Ingeniería</w:t>
      </w:r>
    </w:p>
    <w:p>
      <w:r>
        <w:t>Esta sección documenta de manera exhaustiva el fundamento teórico, las leyes físicas, las normas internacionales y los modelos matemáticos y financieros implementados en el motor de cálculo (calc.js) del Simulador Fotovoltaico de ALP GROUP.</w:t>
      </w:r>
    </w:p>
    <w:p>
      <w:pPr>
        <w:pStyle w:val="Heading2"/>
      </w:pPr>
      <w:r>
        <w:t>5.1. Modelo Físico de Radiación Solar y Generación Fotovoltaica</w:t>
      </w:r>
    </w:p>
    <w:p>
      <w:r>
        <w:t>La estimación de producción eléctrica anual y mensual se calcula a partir de la potencia pico instalada (kWp), la irradiación global horizontal/inclinada anual del sitio (kWh/m²/año) y el Performance Ratio (PR) del sistema:</w:t>
      </w:r>
    </w:p>
    <w:p>
      <w:pPr>
        <w:spacing w:after="120"/>
      </w:pPr>
      <w:r>
        <w:rPr>
          <w:rFonts w:ascii="Consolas" w:hAnsi="Consolas"/>
          <w:color w:val="1E293B"/>
          <w:sz w:val="18"/>
        </w:rPr>
        <w:t>1. Generación Eléctrica Anual Año 1 (kWh/año):</w:t>
        <w:br/>
        <w:t xml:space="preserve">   E_anual = P_kWp × H_anual × (PR / 100)</w:t>
        <w:br/>
        <w:br/>
        <w:t>2. Rendimiento Específico / Yield del Sistema (kWh/kWp/año):</w:t>
        <w:br/>
        <w:t xml:space="preserve">   Y_f = E_anual / P_kWp = H_anual × (PR / 100)</w:t>
        <w:br/>
        <w:br/>
        <w:t>3. Distribución Estacional Mensual (kWh/mes):</w:t>
        <w:br/>
        <w:t xml:space="preserve">   E_gen,m = E_anual × f_m   (para m = 1, 2, ..., 12)</w:t>
        <w:br/>
        <w:br/>
        <w:t xml:space="preserve">   Donde f_m es el vector de coeficientes normalizados para el Hemisferio Sur (Centro/Norte de Argentina):</w:t>
        <w:br/>
        <w:t xml:space="preserve">   f = [Ene: 0.1094, Feb: 0.0979, Mar: 0.0891, Abr: 0.0736, May: 0.0591, Jun: 0.0502,</w:t>
        <w:br/>
        <w:t xml:space="preserve">        Jul: 0.0532, Ago: 0.0676, Sep: 0.0835, Oct: 0.0986, Nov: 0.1065, Dic: 0.1113]  (∑ f_m = 1.0000)</w:t>
      </w:r>
    </w:p>
    <w:p>
      <w:pPr>
        <w:pStyle w:val="Heading2"/>
      </w:pPr>
      <w:r>
        <w:t>5.2. Modelo Físico de Pérdidas Técnicas y Performance Ratio (PR)</w:t>
      </w:r>
    </w:p>
    <w:p>
      <w:r>
        <w:t>El Performance Ratio (PR) evalúa la calidad global de la instalación descontando las atenuaciones energéticas en cascada:</w:t>
      </w:r>
    </w:p>
    <w:tbl>
      <w:tblPr>
        <w:tblW w:type="auto" w:w="0"/>
        <w:jc w:val="center"/>
        <w:tblLook w:firstColumn="1" w:firstRow="1" w:lastColumn="0" w:lastRow="0" w:noHBand="0" w:noVBand="1" w:val="04A0"/>
      </w:tblPr>
      <w:tblGrid>
        <w:gridCol w:w="3168"/>
        <w:gridCol w:w="1728"/>
        <w:gridCol w:w="4464"/>
      </w:tblGrid>
      <w:tr>
        <w:tc>
          <w:tcPr>
            <w:tcW w:type="dxa" w:w="3120"/>
            <w:shd w:fill="009FE3"/>
            <w:tcMar>
              <w:top w:w="80" w:type="dxa"/>
              <w:bottom w:w="80" w:type="dxa"/>
              <w:left w:w="120" w:type="dxa"/>
              <w:right w:w="120" w:type="dxa"/>
            </w:tcMar>
            <w:vAlign w:val="center"/>
          </w:tcPr>
          <w:p>
            <w:pPr>
              <w:spacing w:before="40" w:after="40"/>
            </w:pPr>
            <w:r>
              <w:rPr>
                <w:rFonts w:ascii="Calibri" w:hAnsi="Calibri"/>
                <w:b/>
                <w:color w:val="FFFFFF"/>
                <w:sz w:val="19"/>
              </w:rPr>
              <w:t>Etapa / Factor de Pérdida</w:t>
            </w:r>
          </w:p>
        </w:tc>
        <w:tc>
          <w:tcPr>
            <w:tcW w:type="dxa" w:w="3120"/>
            <w:shd w:fill="009FE3"/>
            <w:tcMar>
              <w:top w:w="80" w:type="dxa"/>
              <w:bottom w:w="80" w:type="dxa"/>
              <w:left w:w="120" w:type="dxa"/>
              <w:right w:w="120" w:type="dxa"/>
            </w:tcMar>
            <w:vAlign w:val="center"/>
          </w:tcPr>
          <w:p>
            <w:pPr>
              <w:spacing w:before="40" w:after="40"/>
            </w:pPr>
            <w:r>
              <w:rPr>
                <w:rFonts w:ascii="Calibri" w:hAnsi="Calibri"/>
                <w:b/>
                <w:color w:val="FFFFFF"/>
                <w:sz w:val="19"/>
              </w:rPr>
              <w:t>Coeficiente (%)</w:t>
            </w:r>
          </w:p>
        </w:tc>
        <w:tc>
          <w:tcPr>
            <w:tcW w:type="dxa" w:w="3120"/>
            <w:shd w:fill="009FE3"/>
            <w:tcMar>
              <w:top w:w="80" w:type="dxa"/>
              <w:bottom w:w="80" w:type="dxa"/>
              <w:left w:w="120" w:type="dxa"/>
              <w:right w:w="120" w:type="dxa"/>
            </w:tcMar>
            <w:vAlign w:val="center"/>
          </w:tcPr>
          <w:p>
            <w:pPr>
              <w:spacing w:before="40" w:after="40"/>
            </w:pPr>
            <w:r>
              <w:rPr>
                <w:rFonts w:ascii="Calibri" w:hAnsi="Calibri"/>
                <w:b/>
                <w:color w:val="FFFFFF"/>
                <w:sz w:val="19"/>
              </w:rPr>
              <w:t>Fundamento Físico y Normativo</w:t>
            </w:r>
          </w:p>
        </w:tc>
      </w:tr>
      <w:tr>
        <w:tc>
          <w:tcPr>
            <w:tcW w:type="dxa" w:w="3120"/>
            <w:shd w:fill="F8FAFC"/>
            <w:tcMar>
              <w:top w:w="80" w:type="dxa"/>
              <w:bottom w:w="80" w:type="dxa"/>
              <w:left w:w="120" w:type="dxa"/>
              <w:right w:w="120" w:type="dxa"/>
            </w:tcMar>
            <w:vAlign w:val="center"/>
          </w:tcPr>
          <w:p>
            <w:pPr>
              <w:spacing w:before="40" w:after="40"/>
            </w:pPr>
            <w:r>
              <w:rPr>
                <w:rFonts w:ascii="Calibri" w:hAnsi="Calibri"/>
                <w:b w:val="0"/>
                <w:color w:val="334155"/>
                <w:sz w:val="17"/>
              </w:rPr>
              <w:t>Temperatura de Celdas (P_temp)</w:t>
            </w:r>
          </w:p>
        </w:tc>
        <w:tc>
          <w:tcPr>
            <w:tcW w:type="dxa" w:w="3120"/>
            <w:shd w:fill="F8FAFC"/>
            <w:tcMar>
              <w:top w:w="80" w:type="dxa"/>
              <w:bottom w:w="80" w:type="dxa"/>
              <w:left w:w="120" w:type="dxa"/>
              <w:right w:w="120" w:type="dxa"/>
            </w:tcMar>
            <w:vAlign w:val="center"/>
          </w:tcPr>
          <w:p>
            <w:pPr>
              <w:spacing w:before="40" w:after="40"/>
            </w:pPr>
            <w:r>
              <w:rPr>
                <w:rFonts w:ascii="Calibri" w:hAnsi="Calibri"/>
                <w:b w:val="0"/>
                <w:color w:val="334155"/>
                <w:sz w:val="17"/>
              </w:rPr>
              <w:t>4.2% - 6.2%</w:t>
            </w:r>
          </w:p>
        </w:tc>
        <w:tc>
          <w:tcPr>
            <w:tcW w:type="dxa" w:w="3120"/>
            <w:shd w:fill="F8FAFC"/>
            <w:tcMar>
              <w:top w:w="80" w:type="dxa"/>
              <w:bottom w:w="80" w:type="dxa"/>
              <w:left w:w="120" w:type="dxa"/>
              <w:right w:w="120" w:type="dxa"/>
            </w:tcMar>
            <w:vAlign w:val="center"/>
          </w:tcPr>
          <w:p>
            <w:pPr>
              <w:spacing w:before="40" w:after="40"/>
            </w:pPr>
            <w:r>
              <w:rPr>
                <w:rFonts w:ascii="Calibri" w:hAnsi="Calibri"/>
                <w:b w:val="0"/>
                <w:color w:val="334155"/>
                <w:sz w:val="17"/>
              </w:rPr>
              <w:t>Coeficiente térmico de potencia γ_Pmp (~ -0.35%/°C) sobre 25°C STC. Varia según ventilación (Chapa: 6.2%, Losa: 4.9%, Suelo: 4.2%).</w:t>
            </w:r>
          </w:p>
        </w:tc>
      </w:tr>
      <w:tr>
        <w:tc>
          <w:tcPr>
            <w:tcW w:type="dxa" w:w="3120"/>
            <w:shd w:fill="FFFFFF"/>
            <w:tcMar>
              <w:top w:w="80" w:type="dxa"/>
              <w:bottom w:w="80" w:type="dxa"/>
              <w:left w:w="120" w:type="dxa"/>
              <w:right w:w="120" w:type="dxa"/>
            </w:tcMar>
            <w:vAlign w:val="center"/>
          </w:tcPr>
          <w:p>
            <w:pPr>
              <w:spacing w:before="40" w:after="40"/>
            </w:pPr>
            <w:r>
              <w:rPr>
                <w:rFonts w:ascii="Calibri" w:hAnsi="Calibri"/>
                <w:b w:val="0"/>
                <w:color w:val="334155"/>
                <w:sz w:val="17"/>
              </w:rPr>
              <w:t>Suciedad Superficial (Soiling)</w:t>
            </w:r>
          </w:p>
        </w:tc>
        <w:tc>
          <w:tcPr>
            <w:tcW w:type="dxa" w:w="3120"/>
            <w:shd w:fill="FFFFFF"/>
            <w:tcMar>
              <w:top w:w="80" w:type="dxa"/>
              <w:bottom w:w="80" w:type="dxa"/>
              <w:left w:w="120" w:type="dxa"/>
              <w:right w:w="120" w:type="dxa"/>
            </w:tcMar>
            <w:vAlign w:val="center"/>
          </w:tcPr>
          <w:p>
            <w:pPr>
              <w:spacing w:before="40" w:after="40"/>
            </w:pPr>
            <w:r>
              <w:rPr>
                <w:rFonts w:ascii="Calibri" w:hAnsi="Calibri"/>
                <w:b w:val="0"/>
                <w:color w:val="334155"/>
                <w:sz w:val="17"/>
              </w:rPr>
              <w:t>3.0%</w:t>
            </w:r>
          </w:p>
        </w:tc>
        <w:tc>
          <w:tcPr>
            <w:tcW w:type="dxa" w:w="3120"/>
            <w:shd w:fill="FFFFFF"/>
            <w:tcMar>
              <w:top w:w="80" w:type="dxa"/>
              <w:bottom w:w="80" w:type="dxa"/>
              <w:left w:w="120" w:type="dxa"/>
              <w:right w:w="120" w:type="dxa"/>
            </w:tcMar>
            <w:vAlign w:val="center"/>
          </w:tcPr>
          <w:p>
            <w:pPr>
              <w:spacing w:before="40" w:after="40"/>
            </w:pPr>
            <w:r>
              <w:rPr>
                <w:rFonts w:ascii="Calibri" w:hAnsi="Calibri"/>
                <w:b w:val="0"/>
                <w:color w:val="334155"/>
                <w:sz w:val="17"/>
              </w:rPr>
              <w:t>Atenuación óptica por deposición de polvo, polvillo agrícola y hollín ambiental sobre el vidrio frontal.</w:t>
            </w:r>
          </w:p>
        </w:tc>
      </w:tr>
      <w:tr>
        <w:tc>
          <w:tcPr>
            <w:tcW w:type="dxa" w:w="3120"/>
            <w:shd w:fill="F8FAFC"/>
            <w:tcMar>
              <w:top w:w="80" w:type="dxa"/>
              <w:bottom w:w="80" w:type="dxa"/>
              <w:left w:w="120" w:type="dxa"/>
              <w:right w:w="120" w:type="dxa"/>
            </w:tcMar>
            <w:vAlign w:val="center"/>
          </w:tcPr>
          <w:p>
            <w:pPr>
              <w:spacing w:before="40" w:after="40"/>
            </w:pPr>
            <w:r>
              <w:rPr>
                <w:rFonts w:ascii="Calibri" w:hAnsi="Calibri"/>
                <w:b w:val="0"/>
                <w:color w:val="334155"/>
                <w:sz w:val="17"/>
              </w:rPr>
              <w:t>Mismatch / Tolerancia Fabril</w:t>
            </w:r>
          </w:p>
        </w:tc>
        <w:tc>
          <w:tcPr>
            <w:tcW w:type="dxa" w:w="3120"/>
            <w:shd w:fill="F8FAFC"/>
            <w:tcMar>
              <w:top w:w="80" w:type="dxa"/>
              <w:bottom w:w="80" w:type="dxa"/>
              <w:left w:w="120" w:type="dxa"/>
              <w:right w:w="120" w:type="dxa"/>
            </w:tcMar>
            <w:vAlign w:val="center"/>
          </w:tcPr>
          <w:p>
            <w:pPr>
              <w:spacing w:before="40" w:after="40"/>
            </w:pPr>
            <w:r>
              <w:rPr>
                <w:rFonts w:ascii="Calibri" w:hAnsi="Calibri"/>
                <w:b w:val="0"/>
                <w:color w:val="334155"/>
                <w:sz w:val="17"/>
              </w:rPr>
              <w:t>1.5%</w:t>
            </w:r>
          </w:p>
        </w:tc>
        <w:tc>
          <w:tcPr>
            <w:tcW w:type="dxa" w:w="3120"/>
            <w:shd w:fill="F8FAFC"/>
            <w:tcMar>
              <w:top w:w="80" w:type="dxa"/>
              <w:bottom w:w="80" w:type="dxa"/>
              <w:left w:w="120" w:type="dxa"/>
              <w:right w:w="120" w:type="dxa"/>
            </w:tcMar>
            <w:vAlign w:val="center"/>
          </w:tcPr>
          <w:p>
            <w:pPr>
              <w:spacing w:before="40" w:after="40"/>
            </w:pPr>
            <w:r>
              <w:rPr>
                <w:rFonts w:ascii="Calibri" w:hAnsi="Calibri"/>
                <w:b w:val="0"/>
                <w:color w:val="334155"/>
                <w:sz w:val="17"/>
              </w:rPr>
              <w:t>Dispersión de parámetros I-V entre módulos conectados en serie y curvas de máxima potencia (MPPT).</w:t>
            </w:r>
          </w:p>
        </w:tc>
      </w:tr>
      <w:tr>
        <w:tc>
          <w:tcPr>
            <w:tcW w:type="dxa" w:w="3120"/>
            <w:shd w:fill="FFFFFF"/>
            <w:tcMar>
              <w:top w:w="80" w:type="dxa"/>
              <w:bottom w:w="80" w:type="dxa"/>
              <w:left w:w="120" w:type="dxa"/>
              <w:right w:w="120" w:type="dxa"/>
            </w:tcMar>
            <w:vAlign w:val="center"/>
          </w:tcPr>
          <w:p>
            <w:pPr>
              <w:spacing w:before="40" w:after="40"/>
            </w:pPr>
            <w:r>
              <w:rPr>
                <w:rFonts w:ascii="Calibri" w:hAnsi="Calibri"/>
                <w:b w:val="0"/>
                <w:color w:val="334155"/>
                <w:sz w:val="17"/>
              </w:rPr>
              <w:t>Cableado Continuo DC (Joule)</w:t>
            </w:r>
          </w:p>
        </w:tc>
        <w:tc>
          <w:tcPr>
            <w:tcW w:type="dxa" w:w="3120"/>
            <w:shd w:fill="FFFFFF"/>
            <w:tcMar>
              <w:top w:w="80" w:type="dxa"/>
              <w:bottom w:w="80" w:type="dxa"/>
              <w:left w:w="120" w:type="dxa"/>
              <w:right w:w="120" w:type="dxa"/>
            </w:tcMar>
            <w:vAlign w:val="center"/>
          </w:tcPr>
          <w:p>
            <w:pPr>
              <w:spacing w:before="40" w:after="40"/>
            </w:pPr>
            <w:r>
              <w:rPr>
                <w:rFonts w:ascii="Calibri" w:hAnsi="Calibri"/>
                <w:b w:val="0"/>
                <w:color w:val="334155"/>
                <w:sz w:val="17"/>
              </w:rPr>
              <w:t>1.2%</w:t>
            </w:r>
          </w:p>
        </w:tc>
        <w:tc>
          <w:tcPr>
            <w:tcW w:type="dxa" w:w="3120"/>
            <w:shd w:fill="FFFFFF"/>
            <w:tcMar>
              <w:top w:w="80" w:type="dxa"/>
              <w:bottom w:w="80" w:type="dxa"/>
              <w:left w:w="120" w:type="dxa"/>
              <w:right w:w="120" w:type="dxa"/>
            </w:tcMar>
            <w:vAlign w:val="center"/>
          </w:tcPr>
          <w:p>
            <w:pPr>
              <w:spacing w:before="40" w:after="40"/>
            </w:pPr>
            <w:r>
              <w:rPr>
                <w:rFonts w:ascii="Calibri" w:hAnsi="Calibri"/>
                <w:b w:val="0"/>
                <w:color w:val="334155"/>
                <w:sz w:val="17"/>
              </w:rPr>
              <w:t>Pérdidas resistivas I²R en conductores solares de 4/6 mm² desde strings hasta inversores.</w:t>
            </w:r>
          </w:p>
        </w:tc>
      </w:tr>
      <w:tr>
        <w:tc>
          <w:tcPr>
            <w:tcW w:type="dxa" w:w="3120"/>
            <w:shd w:fill="F8FAFC"/>
            <w:tcMar>
              <w:top w:w="80" w:type="dxa"/>
              <w:bottom w:w="80" w:type="dxa"/>
              <w:left w:w="120" w:type="dxa"/>
              <w:right w:w="120" w:type="dxa"/>
            </w:tcMar>
            <w:vAlign w:val="center"/>
          </w:tcPr>
          <w:p>
            <w:pPr>
              <w:spacing w:before="40" w:after="40"/>
            </w:pPr>
            <w:r>
              <w:rPr>
                <w:rFonts w:ascii="Calibri" w:hAnsi="Calibri"/>
                <w:b w:val="0"/>
                <w:color w:val="334155"/>
                <w:sz w:val="17"/>
              </w:rPr>
              <w:t>Eficiencia del Inversor (η_inv)</w:t>
            </w:r>
          </w:p>
        </w:tc>
        <w:tc>
          <w:tcPr>
            <w:tcW w:type="dxa" w:w="3120"/>
            <w:shd w:fill="F8FAFC"/>
            <w:tcMar>
              <w:top w:w="80" w:type="dxa"/>
              <w:bottom w:w="80" w:type="dxa"/>
              <w:left w:w="120" w:type="dxa"/>
              <w:right w:w="120" w:type="dxa"/>
            </w:tcMar>
            <w:vAlign w:val="center"/>
          </w:tcPr>
          <w:p>
            <w:pPr>
              <w:spacing w:before="40" w:after="40"/>
            </w:pPr>
            <w:r>
              <w:rPr>
                <w:rFonts w:ascii="Calibri" w:hAnsi="Calibri"/>
                <w:b w:val="0"/>
                <w:color w:val="334155"/>
                <w:sz w:val="17"/>
              </w:rPr>
              <w:t>2.1%</w:t>
            </w:r>
          </w:p>
        </w:tc>
        <w:tc>
          <w:tcPr>
            <w:tcW w:type="dxa" w:w="3120"/>
            <w:shd w:fill="F8FAFC"/>
            <w:tcMar>
              <w:top w:w="80" w:type="dxa"/>
              <w:bottom w:w="80" w:type="dxa"/>
              <w:left w:w="120" w:type="dxa"/>
              <w:right w:w="120" w:type="dxa"/>
            </w:tcMar>
            <w:vAlign w:val="center"/>
          </w:tcPr>
          <w:p>
            <w:pPr>
              <w:spacing w:before="40" w:after="40"/>
            </w:pPr>
            <w:r>
              <w:rPr>
                <w:rFonts w:ascii="Calibri" w:hAnsi="Calibri"/>
                <w:b w:val="0"/>
                <w:color w:val="334155"/>
                <w:sz w:val="17"/>
              </w:rPr>
              <w:t>Rendimiento ponderado de conversión DC a AC trifásica/monofásica (eficiencia típica 97.9%).</w:t>
            </w:r>
          </w:p>
        </w:tc>
      </w:tr>
      <w:tr>
        <w:tc>
          <w:tcPr>
            <w:tcW w:type="dxa" w:w="3120"/>
            <w:shd w:fill="FFFFFF"/>
            <w:tcMar>
              <w:top w:w="80" w:type="dxa"/>
              <w:bottom w:w="80" w:type="dxa"/>
              <w:left w:w="120" w:type="dxa"/>
              <w:right w:w="120" w:type="dxa"/>
            </w:tcMar>
            <w:vAlign w:val="center"/>
          </w:tcPr>
          <w:p>
            <w:pPr>
              <w:spacing w:before="40" w:after="40"/>
            </w:pPr>
            <w:r>
              <w:rPr>
                <w:rFonts w:ascii="Calibri" w:hAnsi="Calibri"/>
                <w:b w:val="0"/>
                <w:color w:val="334155"/>
                <w:sz w:val="17"/>
              </w:rPr>
              <w:t>Cableado Alterno AC (Joule)</w:t>
            </w:r>
          </w:p>
        </w:tc>
        <w:tc>
          <w:tcPr>
            <w:tcW w:type="dxa" w:w="3120"/>
            <w:shd w:fill="FFFFFF"/>
            <w:tcMar>
              <w:top w:w="80" w:type="dxa"/>
              <w:bottom w:w="80" w:type="dxa"/>
              <w:left w:w="120" w:type="dxa"/>
              <w:right w:w="120" w:type="dxa"/>
            </w:tcMar>
            <w:vAlign w:val="center"/>
          </w:tcPr>
          <w:p>
            <w:pPr>
              <w:spacing w:before="40" w:after="40"/>
            </w:pPr>
            <w:r>
              <w:rPr>
                <w:rFonts w:ascii="Calibri" w:hAnsi="Calibri"/>
                <w:b w:val="0"/>
                <w:color w:val="334155"/>
                <w:sz w:val="17"/>
              </w:rPr>
              <w:t>0.8%</w:t>
            </w:r>
          </w:p>
        </w:tc>
        <w:tc>
          <w:tcPr>
            <w:tcW w:type="dxa" w:w="3120"/>
            <w:shd w:fill="FFFFFF"/>
            <w:tcMar>
              <w:top w:w="80" w:type="dxa"/>
              <w:bottom w:w="80" w:type="dxa"/>
              <w:left w:w="120" w:type="dxa"/>
              <w:right w:w="120" w:type="dxa"/>
            </w:tcMar>
            <w:vAlign w:val="center"/>
          </w:tcPr>
          <w:p>
            <w:pPr>
              <w:spacing w:before="40" w:after="40"/>
            </w:pPr>
            <w:r>
              <w:rPr>
                <w:rFonts w:ascii="Calibri" w:hAnsi="Calibri"/>
                <w:b w:val="0"/>
                <w:color w:val="334155"/>
                <w:sz w:val="17"/>
              </w:rPr>
              <w:t>Caída óhmica de tensión entre bornes de salida del inversor y el tablero general de baja tensión.</w:t>
            </w:r>
          </w:p>
        </w:tc>
      </w:tr>
      <w:tr>
        <w:tc>
          <w:tcPr>
            <w:tcW w:type="dxa" w:w="3120"/>
            <w:shd w:fill="E0F2FE"/>
            <w:tcMar>
              <w:top w:w="80" w:type="dxa"/>
              <w:bottom w:w="80" w:type="dxa"/>
              <w:left w:w="120" w:type="dxa"/>
              <w:right w:w="120" w:type="dxa"/>
            </w:tcMar>
            <w:vAlign w:val="center"/>
          </w:tcPr>
          <w:p>
            <w:pPr>
              <w:spacing w:before="40" w:after="40"/>
            </w:pPr>
            <w:r>
              <w:rPr>
                <w:rFonts w:ascii="Calibri" w:hAnsi="Calibri"/>
                <w:b/>
                <w:color w:val="0284C7"/>
                <w:sz w:val="17"/>
              </w:rPr>
              <w:t>Performance Ratio Resultante</w:t>
            </w:r>
          </w:p>
        </w:tc>
        <w:tc>
          <w:tcPr>
            <w:tcW w:type="dxa" w:w="3120"/>
            <w:shd w:fill="E0F2FE"/>
            <w:tcMar>
              <w:top w:w="80" w:type="dxa"/>
              <w:bottom w:w="80" w:type="dxa"/>
              <w:left w:w="120" w:type="dxa"/>
              <w:right w:w="120" w:type="dxa"/>
            </w:tcMar>
            <w:vAlign w:val="center"/>
          </w:tcPr>
          <w:p>
            <w:pPr>
              <w:spacing w:before="40" w:after="40"/>
            </w:pPr>
            <w:r>
              <w:rPr>
                <w:rFonts w:ascii="Calibri" w:hAnsi="Calibri"/>
                <w:b/>
                <w:color w:val="0284C7"/>
                <w:sz w:val="17"/>
              </w:rPr>
              <w:t>83.0% - 86.0%</w:t>
            </w:r>
          </w:p>
        </w:tc>
        <w:tc>
          <w:tcPr>
            <w:tcW w:type="dxa" w:w="3120"/>
            <w:shd w:fill="E0F2FE"/>
            <w:tcMar>
              <w:top w:w="80" w:type="dxa"/>
              <w:bottom w:w="80" w:type="dxa"/>
              <w:left w:w="120" w:type="dxa"/>
              <w:right w:w="120" w:type="dxa"/>
            </w:tcMar>
            <w:vAlign w:val="center"/>
          </w:tcPr>
          <w:p>
            <w:pPr>
              <w:spacing w:before="40" w:after="40"/>
            </w:pPr>
            <w:r>
              <w:rPr>
                <w:rFonts w:ascii="Calibri" w:hAnsi="Calibri"/>
                <w:b/>
                <w:color w:val="0284C7"/>
                <w:sz w:val="17"/>
              </w:rPr>
              <w:t>PR = ∏ (1 - Pérdida_i). Rendimiento neto global del generador solar entregado a la red.</w:t>
            </w:r>
          </w:p>
        </w:tc>
      </w:tr>
    </w:tbl>
    <w:p>
      <w:pPr>
        <w:spacing w:after="120"/>
      </w:pPr>
    </w:p>
    <w:p>
      <w:pPr>
        <w:pStyle w:val="Heading2"/>
      </w:pPr>
      <w:r>
        <w:t>5.3. Modelo de Balance Energético y Autoconsumo</w:t>
      </w:r>
    </w:p>
    <w:p>
      <w:r>
        <w:t>El autoconsumo solo existe cuando la generación y la demanda coinciden en el mismo instante. Por eso el motor no compara totales mensuales: resuelve el balance hora por hora para los doce meses (12 × 24 = 288 pasos de cálculo) y recién después agrega los resultados a valores mensuales y anuales. Para cada mes m se reparte la energía del mes entre las 24 horas de un día tipo y se despacha ese día:</w:t>
      </w:r>
    </w:p>
    <w:p>
      <w:pPr>
        <w:spacing w:after="120"/>
      </w:pPr>
      <w:r>
        <w:rPr>
          <w:rFonts w:ascii="Consolas" w:hAnsi="Consolas"/>
          <w:color w:val="1E293B"/>
          <w:sz w:val="18"/>
        </w:rPr>
        <w:t>1. Reparto horario de la energía del mes (kWh/h):</w:t>
        <w:br/>
        <w:t xml:space="preserve">   E_gen,m,h = (E_gen,m / d_m) × f_solar,m,h</w:t>
        <w:br/>
        <w:t xml:space="preserve">   E_con,m,h = (E_con,m / d_m) × f_dem,h</w:t>
        <w:br/>
        <w:t xml:space="preserve">   d_m = días del mes; f_solar y f_dem suman 1 en las 24 horas.</w:t>
        <w:br/>
        <w:br/>
        <w:t>2. Autoconsumo Solar Directo Horario (kWh/h):</w:t>
        <w:br/>
        <w:t xml:space="preserve">   E_auto_dir,m,h = min( E_gen,m,h , E_con,m,h )</w:t>
        <w:br/>
        <w:br/>
        <w:t>3. Excedente y déficit brutos antes de la batería (kWh/h):</w:t>
        <w:br/>
        <w:t xml:space="preserve">   E_exc_bruto,m,h = E_gen,m,h - E_auto_dir,m,h</w:t>
        <w:br/>
        <w:t xml:space="preserve">   E_red_bruto,m,h = E_con,m,h - E_auto_dir,m,h</w:t>
        <w:br/>
        <w:br/>
        <w:t>4. Agregación mensual (kWh/mes), ya con el aporte del banco:</w:t>
        <w:br/>
        <w:t xml:space="preserve">   E_auto,m = d_m × ∑_h ( E_auto_dir,m,h + Bat_descarga,m,h )</w:t>
        <w:br/>
        <w:t xml:space="preserve">   E_exc,m  = d_m × ∑_h E_exc_final,m,h</w:t>
        <w:br/>
        <w:t xml:space="preserve">   E_red,m  = d_m × ∑_h E_red_final,m,h</w:t>
        <w:br/>
        <w:br/>
        <w:t>5. Grado de Cobertura Solar de la Demanda (%):</w:t>
        <w:br/>
        <w:t xml:space="preserve">   Cobertura (%) = [ ∑ E_auto,m / ∑ E_con,m ] × 100</w:t>
        <w:br/>
        <w:br/>
        <w:t>6. Tasa de Aprovechamiento del Generador Solar (%):</w:t>
        <w:br/>
        <w:t xml:space="preserve">   Aprovechamiento (%) = [ ∑ E_auto,m / ∑ E_gen,m ] × 100</w:t>
        <w:br/>
        <w:br/>
        <w:t>El balance conserva la energía en todos los casos:</w:t>
        <w:br/>
        <w:t xml:space="preserve">   E_auto,m + E_exc,m = E_gen,m        E_auto,m + E_red,m = E_con,m</w:t>
      </w:r>
    </w:p>
    <w:p>
      <w:r>
        <w:t>Compatibilidad con propuestas anteriores: el campo «Modelo de autoconsumo» permite volver al criterio mensual E_auto,m = min(E_gen,m , E_con,m) que utilizaban las versiones previas del simulador. Ese modo supone que toda la energía del mediodía encuentra demanda simultánea, sobreestima el ahorro y no simula el ciclado de las baterías, por lo que solo debe usarse para reproducir una cotización ya entregada al cliente.</w:t>
      </w:r>
    </w:p>
    <w:p>
      <w:pPr>
        <w:spacing w:after="120"/>
      </w:pPr>
      <w:r>
        <w:rPr>
          <w:rFonts w:ascii="Consolas" w:hAnsi="Consolas"/>
          <w:color w:val="1E293B"/>
          <w:sz w:val="18"/>
        </w:rPr>
        <w:t>Criterio mensual (versión anterior, solo para reproducir cotizaciones ya emitidas):</w:t>
        <w:br/>
        <w:t xml:space="preserve">   E_auto,m = min( E_gen,m , E_con,m )</w:t>
        <w:br/>
        <w:t xml:space="preserve">   E_exc,m  = max( E_gen,m - E_con,m , 0 )</w:t>
        <w:br/>
        <w:t xml:space="preserve">   E_red,m  = max( E_con,m - E_gen,m , 0 )</w:t>
      </w:r>
    </w:p>
    <w:p>
      <w:pPr>
        <w:pStyle w:val="Heading2"/>
      </w:pPr>
      <w:r>
        <w:t>5.4. Geometría Solar Horaria y Almacenamiento con Baterías (BESS)</w:t>
      </w:r>
    </w:p>
    <w:p>
      <w:r>
        <w:t>La forma de la campana solar no se asume: se deduce de la posición del sol en el emplazamiento. El motor toma la latitud y la longitud de la localidad elegida, calcula la declinación solar del día representativo de cada mes y reparte la energía según el coseno del ángulo cenital. De ahí surgen, sin parámetros adicionales, los días largos de verano, los días cortos de invierno y el corrimiento del mediodía solar respecto del reloj (huso UTC-3), que en el centro del país cae cerca de las 13:00 hs.</w:t>
      </w:r>
    </w:p>
    <w:p>
      <w:pPr>
        <w:spacing w:after="120"/>
      </w:pPr>
      <w:r>
        <w:rPr>
          <w:rFonts w:ascii="Consolas" w:hAnsi="Consolas"/>
          <w:color w:val="1E293B"/>
          <w:sz w:val="18"/>
        </w:rPr>
        <w:t>1. Declinación Solar del día representativo n del mes (grados):</w:t>
        <w:br/>
        <w:t xml:space="preserve">   δ = 23.45 × sen( 360° × (284 + n) / 365 )</w:t>
        <w:br/>
        <w:t xml:space="preserve">   n = 17, 47, 75, 105, 135, 162, 198, 228, 258, 288, 318, 344 (días tipo de Klein)</w:t>
        <w:br/>
        <w:br/>
        <w:t>2. Ángulo Horario corregido por el huso horario (grados):</w:t>
        <w:br/>
        <w:t xml:space="preserve">   ω_h = 15° × ( h + 0.5 - 12 - Δt )        Δt = (λ_ref - λ_local) / 15    ,  λ_ref = -45° (UTC-3)</w:t>
        <w:br/>
        <w:br/>
        <w:t>3. Coseno del Ángulo Cenital y fracción horaria de generación:</w:t>
        <w:br/>
        <w:t xml:space="preserve">   cos θ_z,h = sen(φ) · sen(δ) + cos(φ) · cos(δ) · cos(ω_h)        φ = latitud del sitio</w:t>
        <w:br/>
        <w:t xml:space="preserve">   f_solar,m,h = max( cos θ_z,h , 0 ) / ∑_h max( cos θ_z,h , 0 )    → ∑_h f_solar,m,h = 1</w:t>
        <w:br/>
        <w:br/>
        <w:t>4. Capacidad Útil del Banco de Baterías (kWh):</w:t>
        <w:br/>
        <w:t xml:space="preserve">   C_util = C_nominal × (DoD% / 100)    (Litio LFP: DoD 80-90%, Gel: DoD 50%)</w:t>
        <w:br/>
        <w:br/>
        <w:t>5. Límite de Potencia de Carga/Descarga (kW):</w:t>
        <w:br/>
        <w:t xml:space="preserve">   P_bat,max = C_nominal × C_rate        (C_rate típico 0.5)</w:t>
        <w:br/>
        <w:br/>
        <w:t>6. Rendimiento repartido entre carga y descarga:</w:t>
        <w:br/>
        <w:t xml:space="preserve">   η_c = η_d = √(η_ida_y_vuelta)          (Litio LFP: 92%, Gel: 82%)</w:t>
        <w:br/>
        <w:br/>
        <w:t>7. Dinámica de Carga con Excedente Solar:</w:t>
        <w:br/>
        <w:t xml:space="preserve">   Bat_carga,h = min( E_exc_bruto,h , P_bat,max , (C_util - SoC_h) / η_c )</w:t>
        <w:br/>
        <w:t xml:space="preserve">   SoC_h+1 = SoC_h + Bat_carga,h × η_c</w:t>
        <w:br/>
        <w:br/>
        <w:t>8. Dinámica de Descarga cuando falta generación:</w:t>
        <w:br/>
        <w:t xml:space="preserve">   Bat_descarga,h = min( E_red_bruto,h , P_bat,max , SoC_h × η_d )</w:t>
        <w:br/>
        <w:t xml:space="preserve">   SoC_h+1 = SoC_h - Bat_descarga,h / η_d</w:t>
        <w:br/>
        <w:br/>
        <w:t>9. Autoconsumo Total Integrado con Baterías:</w:t>
        <w:br/>
        <w:t xml:space="preserve">   E_auto_total,h = E_auto_directo,h + Bat_descarga,h</w:t>
        <w:br/>
        <w:br/>
        <w:t>10. Autonomía del Sistema de Respaldo (Horas):</w:t>
        <w:br/>
        <w:t xml:space="preserve">   Autonomia = C_util / (E_con_anual / 8760 h)</w:t>
      </w:r>
    </w:p>
    <w:p>
      <w:r>
        <w:t>El día tipo de cada mes se simula tres veces encadenando el estado de carga final con el inicial, de modo que el banco arranca el cálculo en su régimen estacionario y no en un estado artificialmente vacío. El aporte de las baterías se valoriza como energía que deja de comprarse a la red en lugar de verterse como excedente: Ahorro_bateria = E_bat,anual × (Tarifa_con_impuestos - Tarifa_inyección). El banco también incorpora su propio recambio en el flujo de fondos, cada «Vida útil del banco» años y por un porcentaje configurable de su costo.</w:t>
      </w:r>
    </w:p>
    <w:p>
      <w:pPr>
        <w:spacing w:after="120"/>
      </w:pPr>
      <w:r>
        <w:rPr>
          <w:rFonts w:ascii="Consolas" w:hAnsi="Consolas"/>
          <w:color w:val="1E293B"/>
          <w:sz w:val="18"/>
        </w:rPr>
        <w:t>Perfiles horarios de demanda utilizados (fracciones normalizadas a suma 1):</w:t>
        <w:br/>
        <w:t xml:space="preserve">   Residencial : picos de mañana y, sobre todo, de 18:00 a 22:00 hs</w:t>
        <w:br/>
        <w:t xml:space="preserve">   Comercial   : meseta diurna de 09:00 a 18:00 hs</w:t>
        <w:br/>
        <w:t xml:space="preserve">   Industrial  : curva casi plana, con leve realce en los turnos diurnos</w:t>
      </w:r>
    </w:p>
    <w:p>
      <w:pPr>
        <w:pStyle w:val="Heading2"/>
      </w:pPr>
      <w:r>
        <w:t>5.5. Algoritmos de Dimensionamiento Automatizado</w:t>
      </w:r>
    </w:p>
    <w:p>
      <w:r>
        <w:t>El asistente de dimensionamiento implementa dos algoritmos matemáticos determinísticos:</w:t>
      </w:r>
    </w:p>
    <w:p>
      <w:pPr>
        <w:spacing w:after="120"/>
      </w:pPr>
      <w:r>
        <w:rPr>
          <w:rFonts w:ascii="Consolas" w:hAnsi="Consolas"/>
          <w:color w:val="1E293B"/>
          <w:sz w:val="18"/>
        </w:rPr>
        <w:t>A. ALGORITMO POR SUPERFICIE DE CUBIERTA DISPONIBLE:</w:t>
        <w:br/>
        <w:t xml:space="preserve">   1. Superficie útil efectiva:    A_util = A_techo × f_cubierta</w:t>
        <w:br/>
        <w:t xml:space="preserve">      (f_cubierta: Chapa coplanar = 0.75, Losa plana = 0.55, Teja = 0.65, Suelo = 0.50)</w:t>
        <w:br/>
        <w:t xml:space="preserve">   2. Módulos fotovoltaicos:       N_paneles = ⌊ A_util / 2.58 m² ⌋   (Panel tipo 575 Wp)</w:t>
        <w:br/>
        <w:t xml:space="preserve">   3. Potencia pico instalable:    P_kWp = (N_paneles × 575 Wp) / 1000</w:t>
        <w:br/>
        <w:t xml:space="preserve">   4. Sobrecarga estática total:   W_total = N_paneles × 28.5 kg + A_util × (w_cubierta - 11 kg/m²)</w:t>
        <w:br/>
        <w:br/>
        <w:t>B. ALGORITMO POR OBJETIVO DE COBERTURA ENERGÉTICA (%):</w:t>
        <w:br/>
        <w:t xml:space="preserve">   1. Energía objetivo anual:      E_obj = E_con_anual × (Cobertura% / 100)</w:t>
        <w:br/>
        <w:t xml:space="preserve">   2. Rendimiento específico sitio: Yield = H_anual × (PR / 100)</w:t>
        <w:br/>
        <w:t xml:space="preserve">   3. Potencia pico requerida:     P_kWp_req = E_obj / Yield</w:t>
        <w:br/>
        <w:t xml:space="preserve">   4. Cantidad entera de paneles:  N_paneles = ⌈ (P_kWp_req × 1000) / P_panel ⌉</w:t>
        <w:br/>
        <w:t xml:space="preserve">   5. Superficie de techo mínima:  A_min = (N_paneles × 2.58 m²) / f_cubierta</w:t>
      </w:r>
    </w:p>
    <w:p>
      <w:pPr>
        <w:pStyle w:val="Heading2"/>
      </w:pPr>
      <w:r>
        <w:t>5.6. Modelo Tarifario: Bandas Horarias, IVA y Potencia Contratada</w:t>
      </w:r>
    </w:p>
    <w:p>
      <w:r>
        <w:t>Una factura eléctrica argentina no es un único precio por kWh. Tiene energía en bandas horarias, cargo por potencia contratada, cargo fijo y un IVA que, según la condición del cliente, es costo o es crédito fiscal. El simulador valoriza cada kWh autoconsumido al precio de la banda en la que efectivamente se produjo.</w:t>
      </w:r>
    </w:p>
    <w:p>
      <w:pPr>
        <w:spacing w:after="120"/>
      </w:pPr>
      <w:r>
        <w:rPr>
          <w:rFonts w:ascii="Consolas" w:hAnsi="Consolas"/>
          <w:color w:val="1E293B"/>
          <w:sz w:val="18"/>
        </w:rPr>
        <w:t>1. Bandas horarias (resolución de la Secretaría de Energía):</w:t>
        <w:br/>
        <w:t xml:space="preserve">   Pico   18:00 a 23:00      Valle  23:00 a 05:00      Resto  el horario restante</w:t>
        <w:br/>
        <w:t xml:space="preserve">   Los límites son configurables por proyecto.</w:t>
        <w:br/>
        <w:br/>
        <w:t>2. Precio final de la hora h ($/kWh):</w:t>
        <w:br/>
        <w:t xml:space="preserve">   Precio_h = Tarifa_banda(h) × (1 + Σ Impuestos% / 100) × (1 + IVA_aplicable% / 100)</w:t>
        <w:br/>
        <w:br/>
        <w:t>3. IVA según la condición del cliente:</w:t>
        <w:br/>
        <w:t xml:space="preserve">   Consumidor final o monotributista → IVA_aplicable = IVA        (es un costo)</w:t>
        <w:br/>
        <w:t xml:space="preserve">   Responsable inscripto            → IVA_aplicable = 0          (es crédito fiscal)</w:t>
        <w:br/>
        <w:t xml:space="preserve">   Computar el IVA para un responsable inscripto sobreestima el ahorro un 21 %.</w:t>
        <w:br/>
        <w:br/>
        <w:t>4. Ahorro por energía del mes m ($):</w:t>
        <w:br/>
        <w:t xml:space="preserve">   Ahorro_m = d_m × Σ_h [ E_auto,m,h × Precio_h + E_exc,m,h × Tarifa_inyección ]</w:t>
        <w:br/>
        <w:br/>
        <w:t>5. Ahorro por potencia contratada ($/año), solo si el cliente renegocia el contrato:</w:t>
        <w:br/>
        <w:t xml:space="preserve">   ΔP_m = max( P_punta_sin_solar,m - P_punta_con_solar,m , 0 )</w:t>
        <w:br/>
        <w:t xml:space="preserve">   Ahorro_potencia = Σ_m ΔP_m × Cargo_potencia</w:t>
        <w:br/>
        <w:t xml:space="preserve">   Por defecto no se computa: la punta de demanda suele caer fuera del horario solar y bajar</w:t>
        <w:br/>
        <w:t xml:space="preserve">   la potencia facturada exige renegociar con la distribuidora.</w:t>
        <w:br/>
        <w:br/>
        <w:t>6. Factura anual estimada, para mostrar el antes y el después:</w:t>
        <w:br/>
        <w:t xml:space="preserve">   Factura = E_consumo × Tarifa_plena + Cargo_fijo × 12 + P_contratada × Cargo_potencia × 12</w:t>
      </w:r>
    </w:p>
    <w:p>
      <w:r>
        <w:t>Conviene tener presente que el sol produce en la banda resto y prácticamente nada en la de pico. Una tarifa con pico caro mejora poco el ahorro solar, salvo que haya baterías que desplacen energía al horario nocturno.</w:t>
      </w:r>
    </w:p>
    <w:p>
      <w:pPr>
        <w:pStyle w:val="Heading3"/>
      </w:pPr>
      <w:r>
        <w:t>5.6.1. Impuestos Eléctricos por Distribuidora</w:t>
      </w:r>
    </w:p>
    <w:p>
      <w:r>
        <w:t>El ahorro monetario del cliente se calcula valorizando el autoconsumo a la tarifa completa con impuestos:</w:t>
      </w:r>
    </w:p>
    <w:p>
      <w:pPr>
        <w:spacing w:after="120"/>
      </w:pPr>
      <w:r>
        <w:rPr>
          <w:rFonts w:ascii="Consolas" w:hAnsi="Consolas"/>
          <w:color w:val="1E293B"/>
          <w:sz w:val="18"/>
        </w:rPr>
        <w:t>1. Tarifa Plena con Impuestos ($/kWh):</w:t>
        <w:br/>
        <w:t xml:space="preserve">   T_full = T_base × [ 1 + ( ∑ Impuestos% ) / 100 ]</w:t>
        <w:br/>
        <w:br/>
        <w:t>2. Ahorro Económico del Año 1 ($/año):</w:t>
        <w:br/>
        <w:t xml:space="preserve">   Ahorro_1 = ∑ [ E_auto,m × T_full + E_exc,m × T_inyeccion ]   (para m = 1..12)</w:t>
        <w:br/>
        <w:br/>
        <w:t>3. Ahorro Anual Año 1 en Dólares (USD/año):</w:t>
        <w:br/>
        <w:t xml:space="preserve">   Ahorro_1_USD = Ahorro_1 / Tipo_de_Cambio</w:t>
      </w:r>
    </w:p>
    <w:p>
      <w:pPr>
        <w:pStyle w:val="Heading2"/>
      </w:pPr>
      <w:r>
        <w:t>5.7. Marco Monetario: Moneda de Análisis, Devaluación y Tasas Equivalentes</w:t>
      </w:r>
    </w:p>
    <w:p>
      <w:r>
        <w:t>El ahorro nace en pesos y la inversión se cotiza en dólares, así que el análisis solo cierra si las dos monedas se tratan de forma consistente. El simulador proyecta un tipo de cambio año a año a partir de la devaluación esperada y vincula las dos tasas de descuento con la relación de Fisher. El usuario carga la tasa en la moneda en la que decide analizar el proyecto y la otra se deriva sola, de modo que el VAN es el mismo número medido en cualquiera de las dos monedas.</w:t>
      </w:r>
    </w:p>
    <w:p>
      <w:pPr>
        <w:spacing w:after="120"/>
      </w:pPr>
      <w:r>
        <w:rPr>
          <w:rFonts w:ascii="Consolas" w:hAnsi="Consolas"/>
          <w:color w:val="1E293B"/>
          <w:sz w:val="18"/>
        </w:rPr>
        <w:t>1. Tipo de Cambio Proyectado al año t ($/U$D):</w:t>
        <w:br/>
        <w:t xml:space="preserve">   TC_t = TC_0 × (1 + dev)^t                      dev: devaluación anual esperada</w:t>
        <w:br/>
        <w:br/>
        <w:t>2. Tasas Equivalentes (relación de Fisher):</w:t>
        <w:br/>
        <w:t xml:space="preserve">   (1 + r_pesos) = (1 + r_dolares) × (1 + dev)</w:t>
        <w:br/>
        <w:t xml:space="preserve">   Se carga la tasa de la moneda de análisis y la otra se despeja de esta identidad.</w:t>
        <w:br/>
        <w:br/>
        <w:t>3. Variación Real de la Tarifa medida en Dólares (%/año):</w:t>
        <w:br/>
        <w:t xml:space="preserve">   inf_USD = [ (1 + inf_ARS) / (1 + dev) ] - 1</w:t>
        <w:br/>
        <w:t xml:space="preserve">   Ejemplo: una tarifa que sube 20 % anual en pesos con 15 % de devaluación sube 4,35 % en dólares.</w:t>
        <w:br/>
        <w:br/>
        <w:t>4. Equivalencia del VAN entre monedas (se demuestra sustituyendo 1 y 2):</w:t>
        <w:br/>
        <w:t xml:space="preserve">   VAN_USD = ∑ [ Flujo_t / ( TC_t × (1 + r_dolares)^t ) ] = VAN_ARS / TC_0</w:t>
        <w:br/>
        <w:br/>
        <w:t>5. Equivalencia de la TIR:</w:t>
        <w:br/>
        <w:t xml:space="preserve">   (1 + TIR_pesos) = (1 + TIR_dolares) × (1 + dev)</w:t>
      </w:r>
    </w:p>
    <w:p>
      <w:r>
        <w:t>Con devaluación cero el ahorro crece en dólares al mismo ritmo que en pesos, lo que a veinte o treinta años multiplica la tarifa en moneda dura de forma poco creíble. La app avisa en pantalla cuando se combina un aumento tarifario alto con devaluación nula.</w:t>
      </w:r>
    </w:p>
    <w:p>
      <w:pPr>
        <w:pStyle w:val="Heading2"/>
      </w:pPr>
      <w:r>
        <w:t>5.8. Tratamiento de Ganancias y Comparación Simétrica</w:t>
      </w:r>
    </w:p>
    <w:p>
      <w:r>
        <w:t>Para un cliente que tributa Ganancias, el ahorro de energía reduce un gasto deducible y por lo tanto aumenta la base imponible. Si ese efecto se ignora en la compra pero se reconoce el escudo del leasing, la comparación queda sesgada a favor del leasing. El simulador ofrece tres regímenes y el simétrico es el único que compara peras con peras.</w:t>
      </w:r>
    </w:p>
    <w:p>
      <w:pPr>
        <w:spacing w:after="120"/>
      </w:pPr>
      <w:r>
        <w:rPr>
          <w:rFonts w:ascii="Consolas" w:hAnsi="Consolas"/>
          <w:color w:val="1E293B"/>
          <w:sz w:val="18"/>
        </w:rPr>
        <w:t>Régimen SIMÉTRICO (recomendado para Responsable Inscripto):</w:t>
        <w:br/>
        <w:t xml:space="preserve">   • El ahorro tributa:            Flujo_t = (Ahorro_t - OPEX_t - Recambio_t) × (1 - g)</w:t>
        <w:br/>
        <w:t xml:space="preserve">   • La compra amortiza el equipo: Amort_t = CAPEX_ARS / N_amort        para t ≤ N_amort</w:t>
        <w:br/>
        <w:t xml:space="preserve">     Escudo_amort,t = Amort_t × g        →   ∑ Escudo_amort = CAPEX_ARS × g</w:t>
        <w:br/>
        <w:t xml:space="preserve">   • El leasing deduce el canon:   Escudo_leasing,t = (Canon_t + Seguro_t + Mtto_t) × g</w:t>
        <w:br/>
        <w:t xml:space="preserve">   • El ahorro también tributa del lado del leasing, con la misma alícuota g.</w:t>
        <w:br/>
        <w:br/>
        <w:t>Régimen SIN GANANCIAS (consumidor final o monotributista):</w:t>
        <w:br/>
        <w:t xml:space="preserve">   g = 0 en ambas opciones: ni escudo fiscal ni impuesto sobre el ahorro.</w:t>
        <w:br/>
        <w:br/>
        <w:t>Régimen ANTERIOR (solo para reproducir cotizaciones ya emitidas):</w:t>
        <w:br/>
        <w:t xml:space="preserve">   El leasing deduce el canon pero la compra no amortiza y el ahorro no tributa.</w:t>
        <w:br/>
        <w:t xml:space="preserve">   Favorece artificialmente al leasing; la app lo señala con una advertencia en pantalla.</w:t>
        <w:br/>
        <w:br/>
        <w:t xml:space="preserve">   g: alícuota del Impuesto a las Ganancias (30 % o 35 %)</w:t>
        <w:br/>
        <w:t xml:space="preserve">   N_amort: años de vida fiscal del equipo (5 por defecto)</w:t>
        <w:br/>
        <w:t xml:space="preserve">   La amortización se computa sobre costo histórico, sin ajuste por inflación.</w:t>
      </w:r>
    </w:p>
    <w:p>
      <w:r>
        <w:t>Los resultados fiscales son una estimación de ingeniería, no un dictamen contable. Antes de presentarlos como compromiso, validalos con el contador del cliente.</w:t>
      </w:r>
    </w:p>
    <w:p>
      <w:pPr>
        <w:pStyle w:val="Heading2"/>
      </w:pPr>
      <w:r>
        <w:t>5.9. Modelo Financiero de Compra Directa (Flujo de Fondos, VAN, TIR, Payback y LCOE)</w:t>
      </w:r>
    </w:p>
    <w:p>
      <w:r>
        <w:t>Modela el flujo de caja dinámico a lo largo de 20 a 30 años incorporando degradación de celdas, actualización tarifaria, OPEX, recambio de inversores y del banco de baterías, y el tratamiento fiscal de la sección anterior:</w:t>
      </w:r>
    </w:p>
    <w:p>
      <w:pPr>
        <w:spacing w:after="120"/>
      </w:pPr>
      <w:r>
        <w:rPr>
          <w:rFonts w:ascii="Consolas" w:hAnsi="Consolas"/>
          <w:color w:val="1E293B"/>
          <w:sz w:val="18"/>
        </w:rPr>
        <w:t>1. Inversión Inicial Total (CAPEX):</w:t>
        <w:br/>
        <w:t xml:space="preserve">   CAPEX_USD = (P_kWp × Costo_kWp) + (C_bat_kWh × Costo_bat_kWh)</w:t>
        <w:br/>
        <w:t xml:space="preserve">   CAPEX_ARS = CAPEX_USD × TC_0</w:t>
        <w:br/>
        <w:br/>
        <w:t>2. Flujo de Fondos del Año t (t = 1, 2, ..., N), en pesos nominales:</w:t>
        <w:br/>
        <w:t xml:space="preserve">   • Generación año t:       E_gen,t = E_anual × (1 - d)^(t-1)          (d: degradación anual ~0.5%)</w:t>
        <w:br/>
        <w:t xml:space="preserve">   • Ahorro energético t:    Ahorro_t = Ahorro_1 × (1 - d)^(t-1) × (1 + inf)^(t-1)</w:t>
        <w:br/>
        <w:t xml:space="preserve">   • Gasto OPEX año t:       OPEX_t = CAPEX_ARS × (OPEX% / 100) × (1 + inf)^(t-1)</w:t>
        <w:br/>
        <w:t xml:space="preserve">   • Recambio inversor t:    CAPEX_solar × (Recambio% / 100) × (1 + inf)^(t-1)   (si t mod k = 0)</w:t>
        <w:br/>
        <w:t xml:space="preserve">   • Recambio banco t:       CAPEX_bat × (Recambio_bat% / 100) × (1 + inf)^(t-1) (si t mod Vida_bat = 0)</w:t>
        <w:br/>
        <w:t xml:space="preserve">   • Flujo neto:             Flujo_t = (Ahorro_t - OPEX_t - Recambio_t) × (1 - g) + Amort_t × g</w:t>
        <w:br/>
        <w:t xml:space="preserve">   • Su equivalente en dólares:  Flujo_USD,t = Flujo_t / TC_t</w:t>
        <w:br/>
        <w:br/>
        <w:t>3. Valor Actual Neto (VAN):</w:t>
        <w:br/>
        <w:t xml:space="preserve">   VAN_ARS = -CAPEX_ARS + ∑ [ Flujo_t / (1 + r_pesos)^t ]</w:t>
        <w:br/>
        <w:t xml:space="preserve">   VAN_USD = -CAPEX_USD + ∑ [ Flujo_USD,t / (1 + r_dolares)^t ] = VAN_ARS / TC_0</w:t>
        <w:br/>
        <w:br/>
        <w:t>4. Tasa Interna de Retorno (TIR):</w:t>
        <w:br/>
        <w:t xml:space="preserve">   Tasa r* que satisface la ecuación no lineal: VAN(r*) = 0</w:t>
        <w:br/>
        <w:t xml:space="preserve">   (Calculada numéricamente mediante algoritmo de bisección con convergencia |f(r)| &lt; 10^-7).</w:t>
        <w:br/>
        <w:t xml:space="preserve">   Se informan por separado la TIR en pesos nominales y la TIR en dólares.</w:t>
        <w:br/>
        <w:br/>
        <w:t>5. Período de Recupero de la Inversión (Payback Simple con Interpolación Lineal):</w:t>
        <w:br/>
        <w:t xml:space="preserve">   Payback = (t - 1) + [ |Flujo_Acumulado_{t-1}| / Flujo_t ]</w:t>
        <w:br/>
        <w:t xml:space="preserve">   Se mide sobre los flujos de la moneda de análisis elegida.</w:t>
        <w:br/>
        <w:br/>
        <w:t>6. Costo Nivelado de la Energía (LCOE - Levelized Cost of Energy), siempre antes de impuestos:</w:t>
        <w:br/>
        <w:t xml:space="preserve">   LCOE = [ CAPEX + ∑ ( (OPEX_t + Recambio_t) / (1 + r)^t ) ] / [ ∑ ( E_gen,t / (1 + r)^t ) ]</w:t>
      </w:r>
    </w:p>
    <w:p>
      <w:pPr>
        <w:pStyle w:val="Heading2"/>
      </w:pPr>
      <w:r>
        <w:t>5.10. Modelo Financiero de Leasing Solar y Escudo Fiscal</w:t>
      </w:r>
    </w:p>
    <w:p>
      <w:r>
        <w:t>Modela el contrato de leasing operativo/financiero y cuantifica el beneficio impositivo en Ganancias:</w:t>
      </w:r>
    </w:p>
    <w:p>
      <w:pPr>
        <w:spacing w:after="120"/>
      </w:pPr>
      <w:r>
        <w:rPr>
          <w:rFonts w:ascii="Consolas" w:hAnsi="Consolas"/>
          <w:color w:val="1E293B"/>
          <w:sz w:val="18"/>
        </w:rPr>
        <w:t>1. Canon Mensual de Leasing (USD/mes):</w:t>
        <w:br/>
        <w:t xml:space="preserve">   Canon_mes = Canon_unitario_kWp × P_kWp</w:t>
        <w:br/>
        <w:br/>
        <w:t>2. Costo Total Bruto del Contrato de Leasing (USD):</w:t>
        <w:br/>
        <w:t xml:space="preserve">   Costo_bruto = Pago_Inicial + (Canon_mes × Plazo_meses) + ∑ Seguros + ∑ Mantenimientos + Opcion_Compra</w:t>
        <w:br/>
        <w:br/>
        <w:t>3. Escudo Fiscal en Impuesto a las Ganancias (USD):</w:t>
        <w:br/>
        <w:t xml:space="preserve">   Gasto_Deducible = (Canon_mes × Plazo_meses) + ∑ Seguros + ∑ Mantenimientos</w:t>
        <w:br/>
        <w:t xml:space="preserve">   Ahorro_Ganancias = Gasto_Deducible × (Alícuota_Ganancias / 100)    (Alícuota: 30% o 35%)</w:t>
        <w:br/>
        <w:br/>
        <w:t>4. Costo Neto Efectivo del Leasing (USD):</w:t>
        <w:br/>
        <w:t xml:space="preserve">   Costo_neto = Costo_bruto - Ahorro_Ganancias</w:t>
        <w:br/>
        <w:br/>
        <w:t>5. Flujo Anual del Cliente (USD), con el ahorro convertido al TC proyectado de cada año:</w:t>
        <w:br/>
        <w:t xml:space="preserve">   Ahorro_USD,t = Ahorro_ARS,t / TC_t</w:t>
        <w:br/>
        <w:t xml:space="preserve">   Flujo_t = Ahorro_USD,t × (1 - g) - Costo_leasing_t + Escudo_leasing_t</w:t>
        <w:br/>
        <w:t xml:space="preserve">   El factor (1 - g) es el mismo que se aplica a la compra directa: sin él la comparación</w:t>
        <w:br/>
        <w:t xml:space="preserve">   entre las dos opciones queda sesgada a favor del leasing.</w:t>
        <w:br/>
        <w:br/>
        <w:t>6. Flujo Mensual Neto Operativo (USD/mes):</w:t>
        <w:br/>
        <w:t xml:space="preserve">   Flujo_mes = Ahorro_Solar_mes × (1 - g) - [ Canon_mes + (Seguro_anual + Mtto_anual) / 12 ]</w:t>
        <w:br/>
        <w:t xml:space="preserve">   (Si Flujo_mes &gt; 0, el sistema genera excedente de caja positivo desde el primer mes).</w:t>
        <w:br/>
        <w:br/>
        <w:t>7. Descuento del flujo:</w:t>
        <w:br/>
        <w:t xml:space="preserve">   Se usa r_dolares, la tasa equivalente en dólares de la sección 5.7, porque el flujo del</w:t>
        <w:br/>
        <w:t xml:space="preserve">   leasing está expresado en esa moneda.</w:t>
      </w:r>
    </w:p>
    <w:p>
      <w:pPr>
        <w:pStyle w:val="Heading2"/>
      </w:pPr>
      <w:r>
        <w:t>5.11. Modelo de Análisis de Sensibilidad Bidimensional</w:t>
      </w:r>
    </w:p>
    <w:p>
      <w:r>
        <w:t>Construye matrices matriciales cruzadas de evaluación de riesgo evaluando simultáneamente dos perturbaciones:</w:t>
      </w:r>
    </w:p>
    <w:p>
      <w:pPr>
        <w:spacing w:after="120"/>
      </w:pPr>
      <w:r>
        <w:rPr>
          <w:rFonts w:ascii="Consolas" w:hAnsi="Consolas"/>
          <w:color w:val="1E293B"/>
          <w:sz w:val="18"/>
        </w:rPr>
        <w:t>1. Matriz Tarifa Eléctrica vs. CAPEX:</w:t>
        <w:br/>
        <w:t xml:space="preserve">   Grid de 5 × 5 nodos: ΔTarifa ∈ {-20%, -10%, 0%, +10%, +20%}  ×  ΔCAPEX ∈ {-15%, -10%, 0%, +10%, +15%}</w:t>
        <w:br/>
        <w:t xml:space="preserve">   Para cada nodo (i, j), el motor recalcula el modelo completo y extrae: VAN, TIR y Payback.</w:t>
        <w:br/>
        <w:br/>
        <w:t>2. Matriz Inflación Tarifaria vs. Tasa de Descuento (WACC):</w:t>
        <w:br/>
        <w:t xml:space="preserve">   Grid de 5 × 4 nodos: WACC ∈ {6%, 8%, 10%, 12%, 15%}  ×  ΔInflación ∈ {-5%, 0%, +5%, +10%}</w:t>
        <w:br/>
        <w:t xml:space="preserve">   Permite identificar el umbral de viabilidad (puntos donde VAN &gt; 0 y TIR &gt; WACC).</w:t>
      </w:r>
    </w:p>
    <w:p>
      <w:pPr>
        <w:pStyle w:val="Heading2"/>
      </w:pPr>
      <w:r>
        <w:t>5.12. Dimensionamiento Eléctrico del Inversor y de las Cadenas</w:t>
      </w:r>
    </w:p>
    <w:p>
      <w:r>
        <w:t>La ventana de tensión de un inversor se verifica en los dos extremos térmicos del año. Con el mínimo histórico de temperatura la tensión de circuito abierto sube y no puede superar la máxima admisible; con la celda caliente la tensión de máxima potencia baja y tiene que quedar por encima de la mínima de seguimiento.</w:t>
      </w:r>
    </w:p>
    <w:p>
      <w:pPr>
        <w:spacing w:after="120"/>
      </w:pPr>
      <w:r>
        <w:rPr>
          <w:rFonts w:ascii="Consolas" w:hAnsi="Consolas"/>
          <w:color w:val="1E293B"/>
          <w:sz w:val="18"/>
        </w:rPr>
        <w:t>1. Tensión de circuito abierto con la mínima temperatura de diseño (V):</w:t>
        <w:br/>
        <w:t xml:space="preserve">   Voc_frío = Voc_STC × [ 1 + (coef_Voc / 100) × (T_min - 25) ]</w:t>
        <w:br/>
        <w:br/>
        <w:t>2. Temperatura de celda en el peor caso de calor (°C):</w:t>
        <w:br/>
        <w:t xml:space="preserve">   T_celda,max = T_amb,max + (NOCT - 20) / 800 × 1000</w:t>
        <w:br/>
        <w:br/>
        <w:t>3. Tensión de máxima potencia con la celda caliente (V):</w:t>
        <w:br/>
        <w:t xml:space="preserve">   Vmp_caliente = Vmp_STC × [ 1 + (coef_Voc / 100) × (T_celda,max - 25) ]</w:t>
        <w:br/>
        <w:br/>
        <w:t>4. Módulos en serie admisibles:</w:t>
        <w:br/>
        <w:t xml:space="preserve">   N_max = piso( V_max_inversor / Voc_frío )</w:t>
        <w:br/>
        <w:t xml:space="preserve">   N_min = techo( max( V_arranque , V_min_seguimiento ) / Vmp_caliente )</w:t>
        <w:br/>
        <w:t xml:space="preserve">   Se elige la serie más larga que entra en la ventana: menos corriente y menos pérdida en el cableado.</w:t>
        <w:br/>
        <w:br/>
        <w:t>5. Cadenas en paralelo:</w:t>
        <w:br/>
        <w:t xml:space="preserve">   N_cadenas = techo( N_módulos / N_serie )</w:t>
        <w:br/>
        <w:t xml:space="preserve">   La corriente de cortocircuito del módulo no puede superar la máxima de la entrada MPPT.</w:t>
        <w:br/>
        <w:br/>
        <w:t>6. Relación entre generador e inversor:</w:t>
        <w:br/>
        <w:t xml:space="preserve">   DC/AC = P_kWp / P_inversor_AC        (habitual 1,10 a 1,30)</w:t>
        <w:br/>
        <w:br/>
        <w:t>7. Potencia de pico en un día despejado (kW):</w:t>
        <w:br/>
        <w:t xml:space="preserve">   P_pico,DC = P_kWp × (G_plano,max / 1000) × Factor_DC</w:t>
        <w:br/>
        <w:t xml:space="preserve">   Factor_DC descuenta las pérdidas anteriores al inversor: temperatura, suciedad,</w:t>
        <w:br/>
        <w:t xml:space="preserve">   dispersión entre módulos y caída en el cableado de continua.</w:t>
        <w:br/>
        <w:br/>
        <w:t>8. Régimen de generación distribuida (Ley 27.424):</w:t>
        <w:br/>
        <w:t xml:space="preserve">   La potencia instalada no puede superar la potencia contratada para poder inyectar.</w:t>
      </w:r>
    </w:p>
    <w:p>
      <w:r>
        <w:t>El recorte por potencia se informa de dos maneras porque son dos cosas distintas. El del día despejado es el criterio de diseño: con una relación DC/AC de 1,20 se recorta cerca del 3 % de la energía del día y con 1,50, cerca del 14 %. El del año medio sale del balance horario, que promedia días nublados y aplana el pico, así que siempre da menos. El primero sirve para elegir el inversor; el segundo, para el flujo de fondos.</w:t>
      </w:r>
    </w:p>
    <w:p>
      <w:pPr>
        <w:pStyle w:val="Heading2"/>
      </w:pPr>
      <w:r>
        <w:t>5.13. Préstamo Bancario, PPA y Comparación de Alternativas</w:t>
      </w:r>
    </w:p>
    <w:p>
      <w:r>
        <w:t>Las cuatro alternativas de financiamiento se expresan en dólares, con el ahorro convertido al tipo de cambio proyectado de cada año y descontadas a la misma tasa. Solo así la comparación no depende de en qué moneda esté expresada cada pata del negocio.</w:t>
      </w:r>
    </w:p>
    <w:p>
      <w:pPr>
        <w:spacing w:after="120"/>
      </w:pPr>
      <w:r>
        <w:rPr>
          <w:rFonts w:ascii="Consolas" w:hAnsi="Consolas"/>
          <w:color w:val="1E293B"/>
          <w:sz w:val="18"/>
        </w:rPr>
        <w:t>1. Cuota del sistema francés (cuota constante):</w:t>
        <w:br/>
        <w:t xml:space="preserve">   Cuota = Capital × i × (1 + i)^n / [ (1 + i)^n - 1 ]        i = TNA / 12 / 100</w:t>
        <w:br/>
        <w:br/>
        <w:t>2. Sistema alemán (amortización constante):</w:t>
        <w:br/>
        <w:t xml:space="preserve">   Amortización_m = Capital / n          Interés_m = Saldo_{m-1} × i</w:t>
        <w:br/>
        <w:br/>
        <w:t>3. Préstamo ajustable por UVA:</w:t>
        <w:br/>
        <w:t xml:space="preserve">   El capital se indexa antes de devengar el interés del período:</w:t>
        <w:br/>
        <w:t xml:space="preserve">   Saldo_indexado = Saldo × (1 + ajuste_mensual)</w:t>
        <w:br/>
        <w:br/>
        <w:t>4. Costo financiero total efectivo anual:</w:t>
        <w:br/>
        <w:t xml:space="preserve">   Tasa mensual i* que anula:  Capital_neto - Σ [ Cuota_m / (1 + i*)^m ] = 0</w:t>
        <w:br/>
        <w:t xml:space="preserve">   CFT = (1 + i*)^12 - 1        Incluye los gastos de otorgamiento.</w:t>
        <w:br/>
        <w:br/>
        <w:t>5. Flujo del cliente con préstamo (U$D del año t):</w:t>
        <w:br/>
        <w:t xml:space="preserve">   Flujo_t = (Ahorro_t - OPEX_t) × (1 - g) - Cuota_t + (Interés_t + Amortización_equipo_t) × g</w:t>
        <w:br/>
        <w:t xml:space="preserve">   El interés del préstamo y la amortización del equipo son deducibles.</w:t>
        <w:br/>
        <w:br/>
        <w:t>6. Flujo del cliente con PPA:</w:t>
        <w:br/>
        <w:t xml:space="preserve">   Pago_PPA,t = E_autoconsumida,t × Precio_PPA × (1 + ajuste)^(t-1)</w:t>
        <w:br/>
        <w:t xml:space="preserve">   Flujo_t = Valor_energía_red,t × (1 - g) - Pago_PPA,t - Opción_compra_t + Escudo_t</w:t>
        <w:br/>
        <w:t xml:space="preserve">   El cliente no invierte: su desembolso inicial es cero.</w:t>
      </w:r>
    </w:p>
    <w:p>
      <w:r>
        <w:t>Endeudarse en pesos cuando se espera una devaluación alta licúa la deuda, y el modelo lo refleja: el mismo préstamo en pesos y en dólares da valores actuales netos muy distintos. Es una diferencia real, no un artefacto del cálculo.</w:t>
      </w:r>
    </w:p>
    <w:p>
      <w:pPr>
        <w:pStyle w:val="Heading2"/>
      </w:pPr>
      <w:r>
        <w:t>5.14. Análisis de Incertidumbre: Monte Carlo y Tornado</w:t>
      </w:r>
    </w:p>
    <w:p>
      <w:r>
        <w:t>Un único valor de VAN esconde cuánto puede moverse el resultado. La simulación de Monte Carlo sortea miles de escenarios moviendo todas las variables inciertas a la vez y devuelve la distribución completa. El diagrama de tornado, en cambio, mueve una variable por vez y ordena cuál pesa más.</w:t>
      </w:r>
    </w:p>
    <w:p>
      <w:pPr>
        <w:spacing w:after="120"/>
      </w:pPr>
      <w:r>
        <w:rPr>
          <w:rFonts w:ascii="Consolas" w:hAnsi="Consolas"/>
          <w:color w:val="1E293B"/>
          <w:sz w:val="18"/>
        </w:rPr>
        <w:t>1. Variables inciertas y su dispersión típica (todas configurables):</w:t>
        <w:br/>
        <w:t xml:space="preserve">   Recurso solar             ±4 %      variabilidad interanual de la irradiación</w:t>
        <w:br/>
        <w:t xml:space="preserve">   Tarifa eléctrica          ±10 %     incertidumbre del precio de la energía</w:t>
        <w:br/>
        <w:t xml:space="preserve">   Costo del sistema         ±8 %      precio de módulos, inversores y montaje</w:t>
        <w:br/>
        <w:t xml:space="preserve">   Actualización tarifaria   ±5 p.p.   ritmo de actualización en pesos</w:t>
        <w:br/>
        <w:t xml:space="preserve">   Devaluación               ±5 p.p.   ritmo de depreciación del peso</w:t>
        <w:br/>
        <w:t xml:space="preserve">   Degradación de módulos    ±0,15 p.p.</w:t>
        <w:br/>
        <w:br/>
        <w:t>2. Sorteo de cada escenario:</w:t>
        <w:br/>
        <w:t xml:space="preserve">   Variable_rel = Base × (1 + z × σ / 100)        Variable_abs = Base + z × σ</w:t>
        <w:br/>
        <w:t xml:space="preserve">   z ~ N(0,1) por el método polar de Box-Muller.</w:t>
        <w:br/>
        <w:t xml:space="preserve">   El generador lleva semilla fija: el mismo proyecto devuelve siempre los mismos números.</w:t>
        <w:br/>
        <w:br/>
        <w:t>3. Salidas de la simulación:</w:t>
        <w:br/>
        <w:t xml:space="preserve">   P(VAN &gt; 0)     probabilidad de que el proyecto sea rentable</w:t>
        <w:br/>
        <w:t xml:space="preserve">   P10, P50, P90  percentiles pesimista, central y optimista del VAN</w:t>
        <w:br/>
        <w:br/>
        <w:t>4. Diagrama de tornado:</w:t>
        <w:br/>
        <w:t xml:space="preserve">   Para cada variable, con las demás en su valor base:</w:t>
        <w:br/>
        <w:t xml:space="preserve">   Amplitud_i = | VAN(Base_i + k·σ_i) - VAN(Base_i - k·σ_i) |        k = 1,5 por defecto</w:t>
        <w:br/>
        <w:t xml:space="preserve">   Las variables se ordenan por amplitud decreciente.</w:t>
      </w:r>
    </w:p>
    <w:p>
      <w:r>
        <w:t>En los proyectos argentinos el tornado casi siempre pone arriba la actualización tarifaria y la devaluación, muy por encima del recurso solar y del precio de los paneles. Eso dice dónde está el riesgo real del negocio: en la macroeconomía, no en la ingeniería.</w:t>
      </w:r>
    </w:p>
    <w:p>
      <w:pPr>
        <w:pStyle w:val="Heading2"/>
      </w:pPr>
      <w:r>
        <w:t>5.15. Modelo de Descarbonización e Impacto Ambiental (ESG)</w:t>
      </w:r>
    </w:p>
    <w:p>
      <w:r>
        <w:t>Cuantifica los beneficios ecológicos a partir del factor de emisión de la matriz eléctrica argentina (SADI):</w:t>
      </w:r>
    </w:p>
    <w:p>
      <w:pPr>
        <w:spacing w:after="120"/>
      </w:pPr>
      <w:r>
        <w:rPr>
          <w:rFonts w:ascii="Consolas" w:hAnsi="Consolas"/>
          <w:color w:val="1E293B"/>
          <w:sz w:val="18"/>
        </w:rPr>
        <w:t>1. Toneladas de CO₂ Evitadas Anualmente (Ton CO₂/año):</w:t>
        <w:br/>
        <w:t xml:space="preserve">   CO2_anual = ( E_anual × FE_red ) / 1000      (FE_red = 0.45 kg CO₂/kWh - Factor SADI CAMMESA)</w:t>
        <w:br/>
        <w:br/>
        <w:t>2. Toneladas de CO₂ Evitadas en la Vida Útil (Ton CO₂ Total):</w:t>
        <w:br/>
        <w:t xml:space="preserve">   CO2_total = [ ( ∑ E_gen,t ) × FE_red ] / 1000</w:t>
        <w:br/>
        <w:br/>
        <w:t>3. Árboles Plantados Equivalentes:</w:t>
        <w:br/>
        <w:t xml:space="preserve">   Arboles_Eq = ( CO2_anual × 1000 kg ) / 21.7 kg CO₂/árbol/año</w:t>
        <w:br/>
        <w:br/>
        <w:t>4. Kilómetros no Emitidos en Automóvil Convencional:</w:t>
        <w:br/>
        <w:t xml:space="preserve">   Km_Auto_Eq = ( CO2_anual × 1000 kg ) / 0.19 kg CO₂/km</w:t>
      </w:r>
    </w:p>
    <w:p>
      <w:pPr>
        <w:pStyle w:val="Heading1"/>
      </w:pPr>
      <w:r>
        <w:rPr>
          <w:color w:val="009FE3"/>
        </w:rPr>
        <w:t>6. Preguntas Frecuentes y Buenas Prácticas (FAQ)</w:t>
      </w:r>
    </w:p>
    <w:p>
      <w:pPr>
        <w:spacing w:after="160"/>
      </w:pPr>
      <w:r>
        <w:rPr>
          <w:b/>
          <w:color w:val="009FE3"/>
        </w:rPr>
        <w:t>❓ ¿Cómo guardar un proyecto de forma segura?</w:t>
        <w:br/>
      </w:r>
      <w:r>
        <w:rPr>
          <w:color w:val="334155"/>
        </w:rPr>
        <w:t>💡 Podés presionar '💾 Guardar' o utilizar el atajo de teclado Ctrl+S. Si estás en modo local, se guarda en el navegador; si estás en modo nube, se sincroniza en la base de datos de Supabase.</w:t>
      </w:r>
    </w:p>
    <w:p>
      <w:pPr>
        <w:spacing w:after="160"/>
      </w:pPr>
      <w:r>
        <w:rPr>
          <w:b/>
          <w:color w:val="009FE3"/>
        </w:rPr>
        <w:t>❓ ¿Qué hacer si un cliente tiene consumos estacionales variables?</w:t>
        <w:br/>
      </w:r>
      <w:r>
        <w:rPr>
          <w:color w:val="334155"/>
        </w:rPr>
        <w:t>💡 En la pestaña '⚡ Energía y CO₂', podés editar manualmente los kWh de consumo de cada uno de los 12 meses del año según las facturas históricas del cliente.</w:t>
      </w:r>
    </w:p>
    <w:p>
      <w:pPr>
        <w:spacing w:after="160"/>
      </w:pPr>
      <w:r>
        <w:rPr>
          <w:b/>
          <w:color w:val="009FE3"/>
        </w:rPr>
        <w:t>❓ ¿Cómo modificar el membrete o logotipo de la empresa?</w:t>
        <w:br/>
      </w:r>
      <w:r>
        <w:rPr>
          <w:color w:val="334155"/>
        </w:rPr>
        <w:t>💡 En la barra superior, hacé clic en '🏢 Membrete'. Podés cargar un nuevo archivo de imagen (PNG/JPG), actualizar el nombre de la empresa, el asesor asignado, teléfono, email y validez de la oferta.</w:t>
      </w:r>
    </w:p>
    <w:p>
      <w:pPr>
        <w:spacing w:after="160"/>
      </w:pPr>
      <w:r>
        <w:rPr>
          <w:b/>
          <w:color w:val="009FE3"/>
        </w:rPr>
        <w:t>❓ ¿Cómo exportar la propuesta comercial a un cliente?</w:t>
        <w:br/>
      </w:r>
      <w:r>
        <w:rPr>
          <w:color w:val="334155"/>
        </w:rPr>
        <w:t>💡 Ingresá a la pestaña '📄 Propuesta Comercial' y hacé clic en '🖨 Imprimir / Guardar en PDF'. Seleccioná la impresora 'Guardar como PDF' en tu navegador para generar un documento ejecutivo listo para enviar por email o WhatsApp.</w:t>
      </w:r>
    </w:p>
    <w:p>
      <w:pPr>
        <w:spacing w:after="160"/>
      </w:pPr>
      <w:r>
        <w:rPr>
          <w:b/>
          <w:color w:val="009FE3"/>
        </w:rPr>
        <w:t>❓ ¿Cómo duplicar un proyecto para evaluar dos potencias distintas?</w:t>
        <w:br/>
      </w:r>
      <w:r>
        <w:rPr>
          <w:color w:val="334155"/>
        </w:rPr>
        <w:t>💡 Abrí el proyecto base y presioná '⧉ Duplicar'. Se creará una copia independiente ('Proyecto (copia)') donde podrás cambiar la potencia o los parámetros sin alterar el original.</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94A3B8"/>
        <w:sz w:val="17"/>
      </w:rPr>
      <w:t>Simulador FV v2.0 · Confidencial · Uso Técnico-Comercial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94A3B8"/>
        <w:sz w:val="17"/>
      </w:rPr>
      <w:t>ALP GROUP · Manual de Usuario · Simulador Fotovoltaico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