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A192F"/>
          <w:sz w:val="52"/>
        </w:rPr>
        <w:t>AIDE-MÉMOIRE CYBERSÉCURITÉ</w:t>
      </w:r>
    </w:p>
    <w:p>
      <w:pPr>
        <w:jc w:val="center"/>
      </w:pPr>
      <w:r>
        <w:rPr>
          <w:rFonts w:ascii="Calibri" w:hAnsi="Calibri"/>
          <w:i/>
          <w:color w:val="00D4FF"/>
          <w:sz w:val="26"/>
        </w:rPr>
        <w:t>Guide réflexe des bonnes pratiques &amp; vigilance contre le Phishing</w:t>
      </w:r>
    </w:p>
    <w:p/>
    <w:p>
      <w:pPr>
        <w:spacing w:before="280" w:after="120"/>
      </w:pPr>
      <w:r>
        <w:rPr>
          <w:rFonts w:ascii="Calibri" w:hAnsi="Calibri"/>
          <w:b/>
          <w:color w:val="0A192F"/>
          <w:sz w:val="32"/>
        </w:rPr>
        <w:t>1. Détection du Phishing (Les 4 Pièges Classiques)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Borders>
              <w:top w:val="none"/>
              <w:left w:val="single" w:sz="24" w:space="0" w:color="00D4FF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0A192F"/>
                <w:sz w:val="24"/>
              </w:rPr>
              <w:t>Checklist Anti-Hameçonnage :</w:t>
            </w:r>
          </w:p>
          <w:p>
            <w:pPr>
              <w:spacing w:after="60"/>
              <w:ind w:left="288"/>
            </w:pPr>
            <w:r>
              <w:rPr>
                <w:b/>
                <w:color w:val="00D4FF"/>
              </w:rPr>
              <w:t xml:space="preserve">• </w:t>
            </w:r>
            <w:r>
              <w:rPr>
                <w:sz w:val="21"/>
              </w:rPr>
              <w:t>L'Expéditeur : Vérifiez attentivement l'adresse e-mail exacte (ex: @securite-banque.invalid au lieu du canal officiel).</w:t>
            </w:r>
          </w:p>
          <w:p>
            <w:pPr>
              <w:spacing w:after="60"/>
              <w:ind w:left="288"/>
            </w:pPr>
            <w:r>
              <w:rPr>
                <w:b/>
                <w:color w:val="00D4FF"/>
              </w:rPr>
              <w:t xml:space="preserve">• </w:t>
            </w:r>
            <w:r>
              <w:rPr>
                <w:sz w:val="21"/>
              </w:rPr>
              <w:t>L'Urgence Feinte : Méfiez-vous des comptes à rebours et des menaces de suspension immédiate de compte.</w:t>
            </w:r>
          </w:p>
          <w:p>
            <w:pPr>
              <w:spacing w:after="60"/>
              <w:ind w:left="288"/>
            </w:pPr>
            <w:r>
              <w:rPr>
                <w:b/>
                <w:color w:val="00D4FF"/>
              </w:rPr>
              <w:t xml:space="preserve">• </w:t>
            </w:r>
            <w:r>
              <w:rPr>
                <w:sz w:val="21"/>
              </w:rPr>
              <w:t>Le Lien Suspect : Survolez toujours les liens sans cliquer pour contrôler l'URL réelle de destination (attention aux liens raccourcis type tinyurl).</w:t>
            </w:r>
          </w:p>
          <w:p>
            <w:pPr>
              <w:spacing w:after="60"/>
              <w:ind w:left="288"/>
            </w:pPr>
            <w:r>
              <w:rPr>
                <w:b/>
                <w:color w:val="00D4FF"/>
              </w:rPr>
              <w:t xml:space="preserve">• </w:t>
            </w:r>
            <w:r>
              <w:rPr>
                <w:sz w:val="21"/>
              </w:rPr>
              <w:t>L'Objet &amp; le Ton : Un objet alarmiste ou une formule générique ('Bonjour client') masque souvent une tentative d'escroquerie.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A192F"/>
          <w:sz w:val="32"/>
        </w:rPr>
        <w:t>2. Gestion des Mots de Passe &amp; Accès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Borders>
              <w:top w:val="none"/>
              <w:left w:val="single" w:sz="24" w:space="0" w:color="00D4FF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0A192F"/>
                <w:sz w:val="24"/>
              </w:rPr>
              <w:t>Règles d'Or de Sécurité des Accès :</w:t>
            </w:r>
          </w:p>
          <w:p>
            <w:pPr>
              <w:spacing w:after="60"/>
              <w:ind w:left="288"/>
            </w:pPr>
            <w:r>
              <w:rPr>
                <w:b/>
                <w:color w:val="00D4FF"/>
              </w:rPr>
              <w:t xml:space="preserve">• </w:t>
            </w:r>
            <w:r>
              <w:rPr>
                <w:sz w:val="21"/>
              </w:rPr>
              <w:t>Longueur &amp; Complexité : Utilisez au moins 12 à 14 caractères combinant majuscules, minuscules, chiffres et symboles.</w:t>
            </w:r>
          </w:p>
          <w:p>
            <w:pPr>
              <w:spacing w:after="60"/>
              <w:ind w:left="288"/>
            </w:pPr>
            <w:r>
              <w:rPr>
                <w:b/>
                <w:color w:val="00D4FF"/>
              </w:rPr>
              <w:t xml:space="preserve">• </w:t>
            </w:r>
            <w:r>
              <w:rPr>
                <w:sz w:val="21"/>
              </w:rPr>
              <w:t>Passphrase : Privilégiez des phrases de passe mémorables (ex: #CaféMatinalEnTerrasse2026!).</w:t>
            </w:r>
          </w:p>
          <w:p>
            <w:pPr>
              <w:spacing w:after="60"/>
              <w:ind w:left="288"/>
            </w:pPr>
            <w:r>
              <w:rPr>
                <w:b/>
                <w:color w:val="00D4FF"/>
              </w:rPr>
              <w:t xml:space="preserve">• </w:t>
            </w:r>
            <w:r>
              <w:rPr>
                <w:sz w:val="21"/>
              </w:rPr>
              <w:t>Double Authentification (2FA/MFA) : Activez systématiquement la validation à deux facteurs sur vos applications sensibles.</w:t>
            </w:r>
          </w:p>
          <w:p>
            <w:pPr>
              <w:spacing w:after="60"/>
              <w:ind w:left="288"/>
            </w:pPr>
            <w:r>
              <w:rPr>
                <w:b/>
                <w:color w:val="00D4FF"/>
              </w:rPr>
              <w:t xml:space="preserve">• </w:t>
            </w:r>
            <w:r>
              <w:rPr>
                <w:sz w:val="21"/>
              </w:rPr>
              <w:t>Gestionnaire de Mots de Passe : Ne réutilisez jamais le même mot de passe sur plusieurs services différents.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A192F"/>
          <w:sz w:val="32"/>
        </w:rPr>
        <w:t>3. Procédure d'Urgence en Cas de Doute / Incident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Borders>
              <w:top w:val="none"/>
              <w:left w:val="single" w:sz="24" w:space="0" w:color="00D4FF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0A192F"/>
                <w:sz w:val="24"/>
              </w:rPr>
              <w:t>Réflexes Immédiats :</w:t>
            </w:r>
          </w:p>
          <w:p>
            <w:pPr>
              <w:spacing w:after="60"/>
              <w:ind w:left="288"/>
            </w:pPr>
            <w:r>
              <w:rPr>
                <w:b/>
                <w:color w:val="00D4FF"/>
              </w:rPr>
              <w:t xml:space="preserve">• </w:t>
            </w:r>
            <w:r>
              <w:rPr>
                <w:sz w:val="21"/>
              </w:rPr>
              <w:t>Ne cliquez sur aucun lien et n'ouvrez aucune pièce jointe suspecte.</w:t>
            </w:r>
          </w:p>
          <w:p>
            <w:pPr>
              <w:spacing w:after="60"/>
              <w:ind w:left="288"/>
            </w:pPr>
            <w:r>
              <w:rPr>
                <w:b/>
                <w:color w:val="00D4FF"/>
              </w:rPr>
              <w:t xml:space="preserve">• </w:t>
            </w:r>
            <w:r>
              <w:rPr>
                <w:sz w:val="21"/>
              </w:rPr>
              <w:t>Déconnectez votre machine du réseau (Wi-Fi / Câble Ethernet) si vous pensez avoir exécuté un fichier piégé.</w:t>
            </w:r>
          </w:p>
          <w:p>
            <w:pPr>
              <w:spacing w:after="60"/>
              <w:ind w:left="288"/>
            </w:pPr>
            <w:r>
              <w:rPr>
                <w:b/>
                <w:color w:val="00D4FF"/>
              </w:rPr>
              <w:t xml:space="preserve">• </w:t>
            </w:r>
            <w:r>
              <w:rPr>
                <w:sz w:val="21"/>
              </w:rPr>
              <w:t>Avertissez immédiatement le service informatique / RSSI de votre entreprise.</w:t>
            </w:r>
          </w:p>
          <w:p>
            <w:pPr>
              <w:spacing w:after="60"/>
              <w:ind w:left="288"/>
            </w:pPr>
            <w:r>
              <w:rPr>
                <w:b/>
                <w:color w:val="00D4FF"/>
              </w:rPr>
              <w:t xml:space="preserve">• </w:t>
            </w:r>
            <w:r>
              <w:rPr>
                <w:sz w:val="21"/>
              </w:rPr>
              <w:t>Changez vos mots de passe depuis un équipement sécurisé si des identifiants ont été saisis.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