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Calibri" w:hAnsi="Calibri" w:cs="Calibri" w:eastAsia="Microsoft JhengHei"/>
          <w:b/>
          <w:i w:val="0"/>
          <w:color w:val="1F3864"/>
          <w:sz w:val="32"/>
        </w:rPr>
        <w:t>精密量測｜名詞對照：VIM 量測類名詞 2.9–2.29</w:t>
      </w:r>
    </w:p>
    <w:p>
      <w:pPr>
        <w:spacing w:before="0" w:after="160" w:line="269" w:lineRule="auto"/>
      </w:pPr>
      <w:r>
        <w:rPr>
          <w:rFonts w:ascii="Calibri" w:hAnsi="Calibri" w:cs="Calibri" w:eastAsia="Microsoft JhengHei"/>
          <w:b w:val="0"/>
          <w:i w:val="0"/>
          <w:color w:val="595959"/>
          <w:sz w:val="20"/>
        </w:rPr>
        <w:t>依據 JCGM 200:2012《國際計量學詞彙──基本和通用概念及相關術語》(VIM, 3rd edition)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2608"/>
        <w:gridCol w:w="1701"/>
        <w:gridCol w:w="5103"/>
      </w:tblGrid>
      <w:tr>
        <w:trPr>
          <w:tblHeader w:val="true"/>
          <w:cantSplit/>
        </w:trPr>
        <w:tc>
          <w:tcPr>
            <w:tcW w:type="dxa" w:w="794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編號</w:t>
            </w:r>
          </w:p>
        </w:tc>
        <w:tc>
          <w:tcPr>
            <w:tcW w:type="dxa" w:w="2608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英文 English</w:t>
            </w:r>
          </w:p>
        </w:tc>
        <w:tc>
          <w:tcPr>
            <w:tcW w:type="dxa" w:w="1701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中文</w:t>
            </w:r>
          </w:p>
        </w:tc>
        <w:tc>
          <w:tcPr>
            <w:tcW w:type="dxa" w:w="5102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定義（中譯）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2.9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result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同義詞：result of measurement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量測結果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賦予被量量的一組量值，連同其他任何可用的相關資訊。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2.10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measured quantity value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同義詞：measured value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量測值（量測量值）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代表量測結果的量值。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2.11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true quantity value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同義詞：true value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真值（真量值）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與量的定義一致的量值。註：在誤差方法中視為唯一且實務上不可知。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2.12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conventional quantity value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同義詞：conventional value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約定值（約定量值）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為特定目的、以協議方式賦予某個量的量值。例：g_n = 9.806 65 m·s⁻²。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2.13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accuracy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同義詞：accuracy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量測準確度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量測值與被量量真值之間的接近程度。註：不是量，不給數值。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2.14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trueness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同義詞：trueness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量測真確度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無限多次重複量測值的平均與參考量值之間的接近程度。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2.15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precision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同義詞：precision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量測精密度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在規定條件下，對同一或相似物件重複量測所得示值或量測值之間的接近程度。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2.16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error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同義詞：error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量測誤差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量測值減參考量值。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2.17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systematic measurement error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同義詞：systematic error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系統量測誤差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在重複量測中保持不變、或依可預測方式變化的量測誤差分量。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2.18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bias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同義詞：bias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量測偏差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系統量測誤差的估計值。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2.19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random measurement error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同義詞：random error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隨機量測誤差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在重複量測中以不可預測方式變化的量測誤差分量。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2.20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repeatability condition of measurement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同義詞：repeatability condition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量測重複性條件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同一量測程序、同一操作者、同一量測系統、同一操作條件、同一地點，並在短時間內對同一或相似物件重複量測的條件。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2.21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repeatability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同義詞：repeatability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量測重複性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在一組量測重複性條件下的量測精密度。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2.22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intermediate precision condition of measurement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同義詞：intermediate precision condition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中間精密度量測條件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同一量測程序、同一地點，在較長時間內對同一或相似物件重複量測的條件，但可包含其他改變（重新校正、不同校正器、不同操作者、不同量測系統）。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2.23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intermediate measurement precision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同義詞：intermediate precision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中間量測精密度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在一組中間精密度量測條件下的量測精密度。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2.24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reproducibility condition of measurement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同義詞：reproducibility condition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量測再現性條件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包含不同地點、不同操作者、不同量測系統，並對同一或相似物件重複量測的條件。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2.25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reproducibility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同義詞：reproducibility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量測再現性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在量測再現性條件下的量測精密度。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2.26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measurement uncertainty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同義詞：uncertainty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量測不確定度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依據所用資訊，用以表徵賦予被量量之量值分散性的非負參數。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2.27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definitional uncertainty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定義不確定度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源自被量量定義中細節有限所產生的量測不確定度分量。註：為任何量測在實務上可達到的最小量測不確定度。</w:t>
            </w:r>
          </w:p>
        </w:tc>
      </w:tr>
      <w:tr>
        <w:trPr>
          <w:cantSplit/>
        </w:trPr>
        <w:tc>
          <w:tcPr>
            <w:tcW w:type="dxa" w:w="79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2.28</w:t>
            </w:r>
          </w:p>
        </w:tc>
        <w:tc>
          <w:tcPr>
            <w:tcW w:type="dxa" w:w="260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Type A evaluation of measurement uncertainty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同義詞：Type A evaluation</w:t>
            </w:r>
          </w:p>
        </w:tc>
        <w:tc>
          <w:tcPr>
            <w:tcW w:type="dxa" w:w="1701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A 類量測不確定度評估</w:t>
            </w:r>
          </w:p>
        </w:tc>
        <w:tc>
          <w:tcPr>
            <w:tcW w:type="dxa" w:w="5102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以在規定量測條件下所得量測值之統計分析，評估量測不確定度分量。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2.29</w:t>
            </w:r>
          </w:p>
        </w:tc>
        <w:tc>
          <w:tcPr>
            <w:tcW w:type="dxa" w:w="260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Type B evaluation of measurement uncertainty</w:t>
            </w:r>
          </w:p>
          <w:p>
            <w:pPr>
              <w:spacing w:after="20"/>
            </w:pPr>
            <w:r>
              <w:rPr>
                <w:rFonts w:ascii="Calibri" w:hAnsi="Calibri" w:cs="Calibri" w:eastAsia="Microsoft JhengHei"/>
                <w:b w:val="0"/>
                <w:i w:val="0"/>
                <w:color w:val="808080"/>
                <w:sz w:val="18"/>
              </w:rPr>
              <w:t>同義詞：Type B evaluation</w:t>
            </w:r>
          </w:p>
        </w:tc>
        <w:tc>
          <w:tcPr>
            <w:tcW w:type="dxa" w:w="1701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B 類量測不確定度評估</w:t>
            </w:r>
          </w:p>
        </w:tc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以 A 類評估以外的方法，決定量測不確定度分量。例：校正證書、認證參考物質的量值、已驗證儀器的準確度等級、漂移資料、個人經驗推得的界限。</w:t>
            </w:r>
          </w:p>
        </w:tc>
      </w:tr>
    </w:tbl>
    <w:p>
      <w:pPr>
        <w:spacing w:before="160" w:after="60" w:line="269" w:lineRule="auto"/>
      </w:pPr>
      <w:r>
        <w:rPr>
          <w:rFonts w:ascii="Calibri" w:hAnsi="Calibri" w:cs="Calibri" w:eastAsia="Microsoft JhengHei"/>
          <w:b w:val="0"/>
          <w:i w:val="0"/>
          <w:color w:val="595959"/>
          <w:sz w:val="18"/>
        </w:rPr>
        <w:t>說明：JCGM 200:2012 由 BIPM、IEC、IFCC、ILAC、ISO、IUPAC、IUPAP、OIML 等八個組織共同發行，OIML 為共同發行單位之一。英文詞條與定義取自原文；中文為依國內計量界慣用譯法所作之對照，官方 CNS 譯名如有差異，以 CNS 為準。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Calibri" w:hAnsi="Calibri" w:cs="Calibri" w:eastAsia="Microsoft JhengHei"/>
          <w:b/>
          <w:i w:val="0"/>
          <w:color w:val="1F3864"/>
          <w:sz w:val="32"/>
        </w:rPr>
        <w:t>附表｜主要國家的國家計量機構（NMI）</w:t>
      </w:r>
    </w:p>
    <w:p>
      <w:pPr>
        <w:spacing w:before="0" w:after="160" w:line="269" w:lineRule="auto"/>
      </w:pPr>
      <w:r>
        <w:rPr>
          <w:rFonts w:ascii="Calibri" w:hAnsi="Calibri" w:cs="Calibri" w:eastAsia="Microsoft JhengHei"/>
          <w:b w:val="0"/>
          <w:i w:val="0"/>
          <w:color w:val="595959"/>
          <w:sz w:val="20"/>
        </w:rPr>
        <w:t>國家計量機構（National Metrology Institute, NMI）負責維持該國的國家量測標準，是計量追溯鏈的頂端。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020"/>
        <w:gridCol w:w="3288"/>
        <w:gridCol w:w="3175"/>
        <w:gridCol w:w="1587"/>
      </w:tblGrid>
      <w:tr>
        <w:trPr>
          <w:cantSplit/>
          <w:tblHeader w:val="true"/>
        </w:trPr>
        <w:tc>
          <w:tcPr>
            <w:tcW w:type="dxa" w:w="1134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國家</w:t>
            </w:r>
          </w:p>
        </w:tc>
        <w:tc>
          <w:tcPr>
            <w:tcW w:type="dxa" w:w="1020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縮寫</w:t>
            </w:r>
          </w:p>
        </w:tc>
        <w:tc>
          <w:tcPr>
            <w:tcW w:type="dxa" w:w="3288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英文全名 English</w:t>
            </w:r>
          </w:p>
        </w:tc>
        <w:tc>
          <w:tcPr>
            <w:tcW w:type="dxa" w:w="3175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中文名稱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FFFFFF"/>
                <w:sz w:val="21"/>
              </w:rPr>
              <w:t>所在地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德國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PTB</w:t>
            </w:r>
          </w:p>
        </w:tc>
        <w:tc>
          <w:tcPr>
            <w:tcW w:type="dxa" w:w="328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Physikalisch-Technische Bundesanstalt</w:t>
            </w:r>
          </w:p>
        </w:tc>
        <w:tc>
          <w:tcPr>
            <w:tcW w:type="dxa" w:w="3175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聯邦物理技術研究院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布朗施威格</w:t>
            </w:r>
          </w:p>
        </w:tc>
      </w:tr>
      <w:tr>
        <w:trPr>
          <w:cantSplit/>
        </w:trPr>
        <w:tc>
          <w:tcPr>
            <w:tcW w:type="dxa" w:w="113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英國</w:t>
            </w:r>
          </w:p>
        </w:tc>
        <w:tc>
          <w:tcPr>
            <w:tcW w:type="dxa" w:w="1020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NPL</w:t>
            </w:r>
          </w:p>
        </w:tc>
        <w:tc>
          <w:tcPr>
            <w:tcW w:type="dxa" w:w="328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National Physical Laboratory</w:t>
            </w:r>
          </w:p>
        </w:tc>
        <w:tc>
          <w:tcPr>
            <w:tcW w:type="dxa" w:w="3175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國家物理實驗室</w:t>
            </w:r>
          </w:p>
        </w:tc>
        <w:tc>
          <w:tcPr>
            <w:tcW w:type="dxa" w:w="1587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特丁頓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美國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NIST</w:t>
            </w:r>
          </w:p>
        </w:tc>
        <w:tc>
          <w:tcPr>
            <w:tcW w:type="dxa" w:w="328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National Institute of Standards and Technology</w:t>
            </w:r>
          </w:p>
        </w:tc>
        <w:tc>
          <w:tcPr>
            <w:tcW w:type="dxa" w:w="3175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國家標準與技術研究院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蓋瑟斯堡</w:t>
            </w:r>
          </w:p>
        </w:tc>
      </w:tr>
      <w:tr>
        <w:trPr>
          <w:cantSplit/>
        </w:trPr>
        <w:tc>
          <w:tcPr>
            <w:tcW w:type="dxa" w:w="113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韓國</w:t>
            </w:r>
          </w:p>
        </w:tc>
        <w:tc>
          <w:tcPr>
            <w:tcW w:type="dxa" w:w="1020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KRISS</w:t>
            </w:r>
          </w:p>
        </w:tc>
        <w:tc>
          <w:tcPr>
            <w:tcW w:type="dxa" w:w="328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Korea Research Institute of Standards and Science</w:t>
            </w:r>
          </w:p>
        </w:tc>
        <w:tc>
          <w:tcPr>
            <w:tcW w:type="dxa" w:w="3175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韓國標準科學研究院</w:t>
            </w:r>
          </w:p>
        </w:tc>
        <w:tc>
          <w:tcPr>
            <w:tcW w:type="dxa" w:w="1587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大田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日本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NMIJ</w:t>
            </w:r>
          </w:p>
        </w:tc>
        <w:tc>
          <w:tcPr>
            <w:tcW w:type="dxa" w:w="328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National Metrology Institute of Japan, AIST</w:t>
            </w:r>
          </w:p>
        </w:tc>
        <w:tc>
          <w:tcPr>
            <w:tcW w:type="dxa" w:w="3175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日本國家計量研究所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筑波</w:t>
            </w:r>
          </w:p>
        </w:tc>
      </w:tr>
      <w:tr>
        <w:trPr>
          <w:cantSplit/>
        </w:trPr>
        <w:tc>
          <w:tcPr>
            <w:tcW w:type="dxa" w:w="1134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中國大陸</w:t>
            </w:r>
          </w:p>
        </w:tc>
        <w:tc>
          <w:tcPr>
            <w:tcW w:type="dxa" w:w="1020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NIM</w:t>
            </w:r>
          </w:p>
        </w:tc>
        <w:tc>
          <w:tcPr>
            <w:tcW w:type="dxa" w:w="3288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National Institute of Metrology</w:t>
            </w:r>
          </w:p>
        </w:tc>
        <w:tc>
          <w:tcPr>
            <w:tcW w:type="dxa" w:w="3175"/>
            <w:shd w:val="clear" w:fill="F2F5FA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中國計量科學研究院</w:t>
            </w:r>
          </w:p>
        </w:tc>
        <w:tc>
          <w:tcPr>
            <w:tcW w:type="dxa" w:w="1587"/>
            <w:shd w:val="clear" w:fill="F2F5FA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北京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臺灣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/>
                <w:i w:val="0"/>
                <w:color w:val="1F3864"/>
                <w:sz w:val="21"/>
              </w:rPr>
              <w:t>NML</w:t>
            </w:r>
          </w:p>
        </w:tc>
        <w:tc>
          <w:tcPr>
            <w:tcW w:type="dxa" w:w="3288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0"/>
              </w:rPr>
              <w:t>National Measurement Laboratory</w:t>
            </w:r>
          </w:p>
        </w:tc>
        <w:tc>
          <w:tcPr>
            <w:tcW w:type="dxa" w:w="3175"/>
          </w:tcPr>
          <w:p>
            <w:pPr>
              <w:spacing w:after="20"/>
              <w:jc w:val="left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國家度量衡標準實驗室</w:t>
            </w:r>
          </w:p>
        </w:tc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cs="Calibri" w:eastAsia="Microsoft JhengHei"/>
                <w:b w:val="0"/>
                <w:i w:val="0"/>
                <w:sz w:val="21"/>
              </w:rPr>
              <w:t>新竹</w:t>
            </w:r>
          </w:p>
        </w:tc>
      </w:tr>
    </w:tbl>
    <w:p>
      <w:pPr>
        <w:spacing w:before="160" w:after="60" w:line="269" w:lineRule="auto"/>
      </w:pPr>
      <w:r>
        <w:rPr>
          <w:rFonts w:ascii="Calibri" w:hAnsi="Calibri" w:cs="Calibri" w:eastAsia="Microsoft JhengHei"/>
          <w:b w:val="0"/>
          <w:i w:val="0"/>
          <w:color w:val="595959"/>
          <w:sz w:val="18"/>
        </w:rPr>
        <w:t>說明：英文全名依 BIPM（國際度量衡局）公布的會員機構名稱。日本的 NMIJ 隸屬產業技術總合研究所（AIST），故正式名稱含 AIST。臺灣的 NML 由工業技術研究院量測技術發展中心受委託營運。各國另有其他領域的指定實驗室，本表僅列主要的國家計量機構。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