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StratifiedGroupKFold po meču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koordinatnih jedinica (yard-ekvivalentno)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čija je udaljenost od šutera dᵢ manja ili jednaka 10 koordinatnih jedinica.</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spacing w:after="160" w:line="276"/>
        <w:ind w:firstLine="397"/>
        <w:jc w:val="both"/>
      </w:pPr>
      <w:r>
        <w:rPr>
          <w:rFonts w:ascii="Calibri" w:cs="Calibri" w:eastAsia="Calibri" w:hAnsi="Calibri"/>
          <w:sz w:val="22"/>
          <w:szCs w:val="22"/>
        </w:rPr>
        <w:t xml:space="preserve">Dodatno, VIF provera je identifikovala da je atribut defenders_in_shot_cone_360 tačan duplikat atributa opponents_between_shooter_and_goal_360 (VIF=inf, R²=1,0, koeficijent=1,000). Matematički, defenders_in_shot_cone broji protivnike u trouglu (šuter, levi stativ, desni stativ) bez uslova na x-koordinatu, dok opponents_between dodaje uslov px &gt;= sx (protivnik mora biti ispred šutera). Međutim, pošto je konus definisan ka golu (x=120) i svi šutevi dolaze sa x &lt; 120, uslov px &gt;= sx je empirijski uvek ispunjen za igrače unutar konusa. Rezultat: identične vrednosti na celom datasetu od 3.968 šuteva. Duplikat je uklonjen iz finalnog skupa atributa (zadržan je opponents_between_shooter_and_goal_360 kao deskriptivnije ime).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služi kao jednostavan referentni xG model za poređenje i koristi isključivo klasične event atribute: udaljenost od gola, ugao šuta, da li je šut prvim dodirom, da li je šut jedan-na-jedan, deo tela i tip šuta. Model B sadrži sve atribute Modela A, uz dodatak StatsBomb 360 prostornih atributa (ukupno 11): udaljenost golmana, broj protivnika između šutera i gola, protivnici u kaznenom prostoru, broj branilaca unutar 5 i 10 koordinatnih jedinica, najbliža udaljenost branioca od linije šuta, broj branilaca unutar 1 i 2 koordinatne jedinice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Grid Search uz unutrašnju trokratnu StratifiedGroupKFold po meču unakrsnu validaciju, čime je obezbeđeno da test podaci nikada nisu učestvovali u procesu podešavanja, a šutevi iz istog meča uvek ostaju u istom foldu.</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StratifiedGroupKFold po meču (5 foldova): koliko model radi na podacima iz iste distribucije kao i podaci za treniranje, uz strogi uslov da svi šutevi iz jedne utakmice ostaju u istom foldu (sprečava curenje informacija unutar meča).</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StratifiedGroupKFold i Leave-One-Tournament-Out odgovaraju na različita pitanja: prvi procenjuje performans unutar poznate distribucije uz kontrolu grupne strukture (šutevi iz istog meča ne curi u test),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StratifiedGroupKFold validacijom po match_id), a nikada na test skupu na kome se izveštava finalni Brier skor. Programski je verifikovano da se skupovi match_id u kalibracionim foldovima ne preklapaju. Izveštavaju se i nekalibrisan i kalibrisan Brier skor, da bi čitalac mogao da proceni korist kalibracije nezavisno od leakage-a.</w:t>
      </w:r>
    </w:p>
    <w:p>
      <w:pPr>
        <w:spacing w:after="160" w:line="276"/>
        <w:ind w:firstLine="397"/>
        <w:jc w:val="both"/>
      </w:pPr>
      <w:r>
        <w:rPr>
          <w:rFonts w:ascii="Calibri" w:cs="Calibri" w:eastAsia="Calibri" w:hAnsi="Calibri"/>
          <w:sz w:val="22"/>
          <w:szCs w:val="22"/>
        </w:rPr>
        <w:t xml:space="preserve">Imputacija nedostajucih vrednosti (medijana za numeričke, konstanta za kategoričke) je ugrađena u sklearn Pipeline (SimpleImputer) i izvršava se isključivo na trening delu svakog folda. Time se sprečava curenje informacija iz test skupa pri imputaciji.</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2"/>
      </w:pPr>
      <w:r>
        <w:t xml:space="preserve">3.10. Dostupnost podataka i koda</w:t>
      </w:r>
    </w:p>
    <w:p>
      <w:pPr>
        <w:spacing w:after="160" w:line="276"/>
        <w:ind w:firstLine="397"/>
        <w:jc w:val="both"/>
      </w:pPr>
      <w:r>
        <w:rPr>
          <w:rFonts w:ascii="Calibri" w:cs="Calibri" w:eastAsia="Calibri" w:hAnsi="Calibri"/>
          <w:sz w:val="22"/>
          <w:szCs w:val="22"/>
        </w:rPr>
        <w:t xml:space="preserve">Kompletan kod za reprodukciju svih rezultata (priprema podataka, treniranje modela, validacija, evaluacija, vizualizacija) javno je dostupan na GitHub repozitorijumu: https://github.com/tfedek/xG360. Podaci korišćeni u istraživanju dolaze iz javno dostupnog StatsBomb Open Data repozitorijuma (https://github.com/statsbomb/open-data) i mogu se slobodno preuzeti za akademska istraživanja.</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koordinatnih jedinica, naspram 18,84 koordinatnih jedinica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StratifiedGroupKFold po meču validacija</w:t>
      </w:r>
    </w:p>
    <w:p>
      <w:pPr>
        <w:spacing w:after="240" w:before="60"/>
        <w:jc w:val="center"/>
      </w:pPr>
      <w:r>
        <w:rPr>
          <w:rFonts w:ascii="Calibri" w:cs="Calibri" w:eastAsia="Calibri" w:hAnsi="Calibri"/>
          <w:i/>
          <w:iCs/>
          <w:color w:val="444444"/>
          <w:sz w:val="18"/>
          <w:szCs w:val="18"/>
        </w:rPr>
        <w:t xml:space="preserve">Tabela 2. Rezultati StratifiedGroupKFold po meču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0,296</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0,077</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0,387</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0,390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StratifiedGroupKFold po meču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3.967 šuteva (bez penala, bez 1 šuta sa uglom jednakim nuli), kako bi poređenje log-likelihood vrednosti bilo validno. Rezultat je LR = 67,97, sa 11 stepeni slobode, što odgovara p-vrednosti od približno 2,97×10⁻¹⁰, odlučno odbacujući nultu hipotezu da StatsBomb 360 atributi ne doprinose modelu. Akaikeov informacioni kriterijum: AIC iznosi 2.139,93 za Model A i 2.093,96 za Model B (favorizuje B). Bajesov informacioni kriterijum (BIC) iznosi 2.202,79 naspram 2.225,96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na nivou pojedinačnih šuteva, sprovedena je klasterska bootstrap analiza razlike ROC AUC na kompletnim out-of-fold (OOF) predikcijama iz svih LOTO foldova, gde se utakmice uzorkuju sa ponavljanjem (svi šutevi iz izabrane utakmice ulaze u bootstrap uzorak). Pooled OOF ROC AUC iznosi 0,713 za Model A i 0,709 za Model B. 95% bootstrap interval poverenja (2.000 iteracija, 166 utakmica kao klasteri) iznosi [-0,033, 0,025]. Interval sadrži nulu, što znači da na nivou pojedinačnog šuta razlika nije statistički značajna na alfa=0,05. Ovo je vredan nalaz koji zaslužuje transparentno prikazivanje: signal od 360 atributa je realan ali umeren. Na nivou turnira (LOTO validacija, Tabela 3), razlika je konzistentna i praktično smislena (+0,011 AUC). LR test potvrđuje da 360 atributi nose stvarnu inkrementalnu informaciju (p=2,97×10⁻¹⁰). Zaključak je da Model B pokazuje konzistentno numeričko poboljšanje kroz turnire i validacione šeme, ali je inkrementalni efekat umeren i interval poverenja dobijen klasterskim bootstrapom ne isključuje nultu razliku.</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0,146</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0,095</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0,117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0,077</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14% do 48% u zavisnosti od modela i validacione šeme).</w:t>
      </w:r>
    </w:p>
    <w:p>
      <w:pPr>
        <w:spacing w:after="160" w:line="276"/>
        <w:ind w:firstLine="397"/>
        <w:jc w:val="both"/>
      </w:pPr>
      <w:r>
        <w:rPr>
          <w:rFonts w:ascii="Calibri" w:cs="Calibri" w:eastAsia="Calibri" w:hAnsi="Calibri"/>
          <w:sz w:val="22"/>
          <w:szCs w:val="22"/>
        </w:rPr>
        <w:t xml:space="preserve">Kao dodatna provera robusnosti, ispitano je da li izbor scoring metrike za GridSearch menja zaključak o prednosti Modela B, korišćenjem nezavisnog, nekalibrisanog LOTO pipeline-a. Rezultat pokazuje da zaključak zavisi od izabranog kriterijuma: kada se hiperparametri biraju prema average_precision (metrika rangiranja), Model B blago zaostaje za Modelom A na AUC (0,709 naspram 0,713, delta=-0,004), iako zadržava bolji sirovi Brier skor (0,110 naspram 0,152). Kada se hiperparametri biraju prema neg_log_loss ili neg_brier_score (metrike koje direktno optimizuju kvalitet verovatnoća), Model B nadmašuje Model A na oba pokazatelja (AUC: 0,775 naspram 0,761, delta=+0,014; Brier: 0,074 naspram 0,076). Ovaj nalaz sugeriše da prednost dodatnih 360 atributa zavisi od toga da li se selekcija hiperparametara eksplicitno fokusira na kvalitet probabilističkih predikcija - što je i primaran cilj xG modelovanja - a ne isključivo na rangiranje. Napominjemo da apsolutne vrednosti AUC u ovoj proveri nisu direktno uporedive sa kalibrisanim rezultatima u Tabeli 3, budući da ova analiza koristi nekalibrisane predikcije radi izolovanja efekta scoring kriterijuma od efekta post-hoc kalibracije.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(+0,007),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(0,773) blago se razlikuje od vrednosti u Tabeli 3 (0,772)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2"/>
      </w:pPr>
      <w:r>
        <w:t xml:space="preserve">4.7. Analiza kompletnosti freeze-frame podataka</w:t>
      </w:r>
    </w:p>
    <w:p>
      <w:pPr>
        <w:spacing w:after="160" w:line="276"/>
        <w:ind w:firstLine="397"/>
        <w:jc w:val="both"/>
      </w:pPr>
      <w:r>
        <w:rPr>
          <w:rFonts w:ascii="Calibri" w:cs="Calibri" w:eastAsia="Calibri" w:hAnsi="Calibri"/>
          <w:sz w:val="22"/>
          <w:szCs w:val="22"/>
        </w:rPr>
        <w:t xml:space="preserve">StatsBomb 360 freeze-frame ne garantuje vidljivost svih 22 igrača na terenu. Broj vidljivih igrača po šutu varira zavisno od ugla kamere i okluzije. Tabela 6 prikazuje deskriptivnu statistiku broja vidljivih igrača i vidljivih protivnika po turniru.</w:t>
      </w:r>
    </w:p>
    <w:p>
      <w:pPr>
        <w:spacing w:after="240" w:before="60"/>
        <w:jc w:val="center"/>
      </w:pPr>
      <w:r>
        <w:rPr>
          <w:rFonts w:ascii="Calibri" w:cs="Calibri" w:eastAsia="Calibri" w:hAnsi="Calibri"/>
          <w:i/>
          <w:iCs/>
          <w:color w:val="444444"/>
          <w:sz w:val="18"/>
          <w:szCs w:val="18"/>
        </w:rPr>
        <w:t xml:space="preserve">Tabela 6. Deskriptivna statistika broja vidljivih igrača u freeze-frame podacima po turniru.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igrači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protivnici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FIFA World Cup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12-17</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7-10</w:t>
            </w:r>
          </w:p>
        </w:tc>
      </w:tr>
    </w:tbl>
    <w:p>
      <w:pPr>
        <w:spacing w:after="160" w:line="276"/>
        <w:ind w:firstLine="397"/>
        <w:jc w:val="both"/>
      </w:pPr>
      <w:r>
        <w:rPr>
          <w:rFonts w:ascii="Calibri" w:cs="Calibri" w:eastAsia="Calibri" w:hAnsi="Calibri"/>
          <w:sz w:val="22"/>
          <w:szCs w:val="22"/>
        </w:rPr>
        <w:t xml:space="preserve">Medijana broja vidljivih igrača iznosi 15 (ukupni raspon 4-22), dok medijana vidljivih protivnika iznosi 8 (raspon 2-11). UEFA Euro 2024 pokazuje blago veći broj vidljivih igrača, što može odražavati poboljšanje u freeze-frame pokrivanju.</w:t>
      </w:r>
    </w:p>
    <w:p>
      <w:pPr>
        <w:spacing w:after="160" w:line="276"/>
        <w:jc w:val="both"/>
      </w:pPr>
      <w:r>
        <w:drawing>
          <wp:inline xmlns:a="http://schemas.openxmlformats.org/drawingml/2006/main" xmlns:pic="http://schemas.openxmlformats.org/drawingml/2006/picture">
            <wp:extent cx="5029200" cy="1676400"/>
            <wp:docPr id="1" name="Picture 1"/>
            <wp:cNvGraphicFramePr>
              <a:graphicFrameLocks noChangeAspect="1"/>
            </wp:cNvGraphicFramePr>
            <a:graphic>
              <a:graphicData uri="http://schemas.openxmlformats.org/drawingml/2006/picture">
                <pic:pic>
                  <pic:nvPicPr>
                    <pic:cNvPr id="0" name="visibility_distribution.png"/>
                    <pic:cNvPicPr/>
                  </pic:nvPicPr>
                  <pic:blipFill>
                    <a:blip r:embed="rId10"/>
                    <a:stretch>
                      <a:fillRect/>
                    </a:stretch>
                  </pic:blipFill>
                  <pic:spPr>
                    <a:xfrm>
                      <a:off x="0" y="0"/>
                      <a:ext cx="5029200" cy="1676400"/>
                    </a:xfrm>
                    <a:prstGeom prst="rect"/>
                  </pic:spPr>
                </pic:pic>
              </a:graphicData>
            </a:graphic>
          </wp:inline>
        </w:drawing>
      </w:r>
    </w:p>
    <w:p>
      <w:pPr>
        <w:spacing w:after="240" w:before="60"/>
        <w:jc w:val="center"/>
      </w:pPr>
      <w:r>
        <w:rPr>
          <w:rFonts w:ascii="Calibri" w:cs="Calibri" w:eastAsia="Calibri" w:hAnsi="Calibri"/>
          <w:i/>
          <w:iCs/>
          <w:color w:val="444444"/>
          <w:sz w:val="18"/>
          <w:szCs w:val="18"/>
        </w:rPr>
        <w:t xml:space="preserve">Slika 3. Distribucija broja vidljivih igrača i protivnika po turniru.</w:t>
      </w:r>
    </w:p>
    <w:p>
      <w:pPr>
        <w:spacing w:after="160" w:line="276"/>
        <w:ind w:firstLine="397"/>
        <w:jc w:val="both"/>
      </w:pPr>
      <w:r>
        <w:rPr>
          <w:rFonts w:ascii="Calibri" w:cs="Calibri" w:eastAsia="Calibri" w:hAnsi="Calibri"/>
          <w:sz w:val="22"/>
          <w:szCs w:val="22"/>
        </w:rPr>
        <w:t xml:space="preserve">Da bi se ispitalo da li prednost Modela B zavisi od kompletnosti freeze-frame podataka, sprovedena je sensitivity analiza na podskupovima šuteva sa različitim pragovima minimalnog broja vidljivih protivnika (Tabela 7).</w:t>
      </w:r>
    </w:p>
    <w:p>
      <w:pPr>
        <w:spacing w:after="240" w:before="60"/>
        <w:jc w:val="center"/>
      </w:pPr>
      <w:r>
        <w:rPr>
          <w:rFonts w:ascii="Calibri" w:cs="Calibri" w:eastAsia="Calibri" w:hAnsi="Calibri"/>
          <w:i/>
          <w:iCs/>
          <w:color w:val="444444"/>
          <w:sz w:val="18"/>
          <w:szCs w:val="18"/>
        </w:rPr>
        <w:t xml:space="preserve">Tabela 7. Sensitivity analiza: Model B prednost za različite pragove vidljivosti protivnika (LOTO validacija).</w:t>
      </w:r>
    </w:p>
    <w:tbl>
      <w:tblPr>
        <w:tblW w:type="dxa" w:w="8995"/>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rPr>
          <w:tblHeader/>
        </w:trPr>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Podskup</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n</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Golovi (%)</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Med. dist.</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A</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B</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w:t>
            </w:r>
          </w:p>
        </w:tc>
      </w:tr>
      <w:tr>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Svi šutevi</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 (9,4%)</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18,0</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r>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&gt;=5 protivnika</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3.704</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336 (9,1%)</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18,2</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0,756</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+0,009</w:t>
            </w:r>
          </w:p>
        </w:tc>
      </w:tr>
      <w:tr>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&gt;=8 protivnika</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2.643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190 (7,2%)</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19,3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0,747</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0,757</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+0,011</w:t>
            </w:r>
          </w:p>
        </w:tc>
      </w:tr>
    </w:tbl>
    <w:p>
      <w:pPr>
        <w:spacing w:after="160" w:line="276"/>
        <w:ind w:firstLine="397"/>
        <w:jc w:val="both"/>
      </w:pPr>
      <w:r>
        <w:rPr>
          <w:rFonts w:ascii="Calibri" w:cs="Calibri" w:eastAsia="Calibri" w:hAnsi="Calibri"/>
          <w:sz w:val="22"/>
          <w:szCs w:val="22"/>
        </w:rPr>
        <w:t xml:space="preserve">Model B zadržava prednost na svim pragovima vidljivosti. Struktura uzorka je stabilna kroz pragove: medijana udaljenosti se ne menja bitno (18,0 do 19,3 koordinatnih jedinica), a procenat šuteva iz blizine (&lt;15 jed.) ostaje sličan (37-38%). Stroži pragovi ne biraju selektivno samo bliske šuteve. Smanjenje delta vrednosti za striktnije pragove (sa +0,013 na +0,009) može odražavati gubitak statističke snage (manji uzorak) jednako kao i realni efekat kompletnosti podataka. Ključni zaključak je da prednost Modela B nije artefakt nepotpunih freeze-frame podataka.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StratifiedGroupKFold po meču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validacija je sprovedena sa StratifiedGroupKFold po meču (match_id kao grupišuća promenljiva), čime je obezbeđeno da šutevi iz iste utakmice nikada ne završe istovremeno u trening i test delu. Ovo je stroži pristup od standardnog Stratified K-Fold-a i daje konzervativniju ali realniju procenu performansa na novim utakmicama.</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p>
      <w:pPr>
        <w:spacing w:after="160" w:line="276"/>
        <w:jc w:val="both"/>
      </w:pPr>
      <w:r>
        <w:rPr>
          <w:rFonts w:ascii="Calibri" w:cs="Calibri" w:eastAsia="Calibri" w:hAnsi="Calibri"/>
          <w:sz w:val="22"/>
          <w:szCs w:val="22"/>
        </w:rPr>
        <w:t xml:space="preserve">Fedek, T. (2026). xG360: Doprinos StatsBomb 360 prostornih podataka u proceni verovatnoce gola [izvorni kod]. GitHub. https://github.com/tfedek/xG360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2026-08-19T23:08:16.357Z</dcterms:created>
  <dcterms:modified xsi:type="dcterms:W3CDTF">2026-08-19T23:08:16.357Z</dcterms:modified>
</cp:coreProperties>
</file>

<file path=docProps/custom.xml><?xml version="1.0" encoding="utf-8"?>
<Properties xmlns="http://schemas.openxmlformats.org/officeDocument/2006/custom-properties" xmlns:vt="http://schemas.openxmlformats.org/officeDocument/2006/docPropsVTypes"/>
</file>