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pPr>
        <w:pStyle w:val="ListParagraph"/>
        <w:numPr>
          <w:ilvl w:val="0"/>
          <w:numId w:val="3"/>
        </w:numPr>
        <w:spacing w:after="80"/>
      </w:pPr>
      <w:r>
        <w:rPr>
          <w:rFonts w:ascii="Calibri" w:cs="Calibri" w:eastAsia="Calibri" w:hAnsi="Calibri"/>
          <w:sz w:val="22"/>
          <w:szCs w:val="22"/>
        </w:rPr>
        <w:t xml:space="preserve">Retke kategorije: tipovi šuta Corner (6 opservacija, 0 golova) i Free Kick (130 opservacija, 3 gola) uzrokovali su kvazi-savršenu separaciju u logističkoj regresiji. Rešeno je agregacijom u jedinstvenu kategoriju Set Piece pre kodiranja.</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udaljenost golmana, broj branilaca u konusu šuta, broj protivnika između šutera i gola, protivnici u kaznenom prostoru, broj branilaca unutar 5m i 10m, najbliža udaljenost branioca od linije šuta, broj branilaca unutar 1m i 2m od linije šuta, i kontinuiranu meru defanzivnog pritiska (pressure_score).</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Ključno: kalibraciona funkcija je naučena isključivo na trening delu svakog spoljnog folda (putem CalibratedClassifierCV sa unutrašnjom 3-fold validacijom), a nikada na test skupu na kome se izveštava finalni Brier skor. Ovim se izbegava optimistička pristrasnost koja bi nastala ako bi kalibrator video test labele tokom treniranja.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su dodatni atributi StatsBomb 360 prostorni atributi (udaljenost golmana, broj branilaca u konusu šuta, protivnici između šutera i gola, protivnici u kaznenom prostoru, najbliža udaljenost branioca od linije šuta, branioci unutar 1m i 2m od linije šuta, i defanzivni pritisak).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64,80, sa 10 stepeni slobode, što odgovara p-vrednosti od približno 4,42×10⁻¹⁰, odlučno odbacujući nultu hipotezu da StatsBomb 360 atributi ne doprinose modelu. Ovaj nalaz je dodatno potkrepljen i informacionim kriterijumima: Akaikeov informacioni kriterijum (AIC) iznosi 2.141,44 za Model A i 2.096,63 za Model B (favorizuje B), a Bajesov informacioni kriterijum (BIC) 2.204,30 naspram 2.222,35 (favorizuje A, što je metodološki očekivano jer BIC strože kažnjava dodatne parametre na uzorcima ove veličine).</w:t>
      </w:r>
    </w:p>
    <w:p>
      <w:pPr>
        <w:spacing w:after="160" w:line="276"/>
        <w:ind w:firstLine="397"/>
        <w:jc w:val="both"/>
      </w:pPr>
      <w:r>
        <w:rPr>
          <w:rFonts w:ascii="Calibri" w:cs="Calibri" w:eastAsia="Calibri" w:hAnsi="Calibri"/>
          <w:sz w:val="22"/>
          <w:szCs w:val="22"/>
        </w:rPr>
        <w:t xml:space="preserve">Za XGBoost, modeli nisu ugnježdeni na isti parametarski način, pa Likelihood Ratio test nije primenjiv. Umesto toga, sprovedena je bootstrap analiza razlike ROC AUC na kompletnim out-of-fold (OOF) predikcijama iz svih LOTO foldova. Za svaki šut u datasetu postoji tačno jedna predikcija dobijena iz modela koji ga nikada nije video tokom treninga. Na ovim parnim (shot-level) predikcijama sprovedeno je 2.000 bootstrap iteracija. Opažena razlika ROC AUC (Model B minus Model A) iznosi 0,061, a 95% interval poverenja iznosi [0,043, 0,079]. Pošto interval ne sadrži nulu, razlika se smatra statistički značajnom na nivou alfa = 0,05. Napomena: ova razlika (0,061) je veća od razlike u Tabeli 3 (0,010) jer bootstrap koristi pooled OOF AUC (svi šutevi zajedno kao jedan skup), dok Tabela 3 prikazuje neponderisani prosek AUC-ova izračunatih odvojeno po turniru; pooled pristup daje veći raspon jer ne prosečava preko različito teških turnira.</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spacing w:after="160" w:line="276"/>
        <w:ind w:firstLine="397"/>
        <w:jc w:val="both"/>
      </w:pPr>
      <w:r>
        <w:rPr>
          <w:rFonts w:ascii="Calibri" w:cs="Calibri" w:eastAsia="Calibri" w:hAnsi="Calibri"/>
          <w:sz w:val="22"/>
          <w:szCs w:val="22"/>
        </w:rPr>
        <w:t xml:space="preserve">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četiri grupe: golman (GK - udaljenost golmana), konusni branioci (CONE - branioci u konusu šuta i između šutera i gola), defanzivni pritisak (PRESSURE - pressure_score, broj branilaca u blizini), i linija šuta (SHOT_LINE - najbliži branilac liniji šuter-gol).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najveći deo inkrementalne vrednosti dolazi iz informacije o broju i rasporedu protivnika u konusu šuta (CONE, +0,008), zatim iz defanzivnog pritiska (PRESSURE, +0,007), dok pozicija golmana donosi manji, ali merljiv doprinos (+0,004). Udaljenost branioca od linije šuta (SHOT_LINE) ne donosi praktično nikakav inkrementalni doprinos kad se doda sama, bez ostalih 360 atributa. Zaključak je da nije ceo 360 sloj podjednako vredan: najveći deo poboljšanja dolazi iz geometrijske informacije o zagušenosti prostora između šutera i gola. Napomena: ROC AUC za pun Model B u Tabeli 5 (0,773) blago se razlikuje od vrednosti u Tabeli 3 (0,769) jer ablation analiza koristi logističku regresiju bez hiperparametarskog podešavanja (GridSearchCV), za razliku od Tabele 3 gde je model optimizovan unutar svakog folda.</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otvorenošću ugla ka golu, izvedenom iz StatsBomb 360 podataka. Ovo je konkretan i merljiv nalaz o prediktivnoj asocijaciji prostornih atributa u modelu, ne o uzročnom efektu promene tih atributa na ishod.</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udaljenosti golmana. Ovaj nesklad sugeriše da efekat ovog atributa nije linearan, odnosno da ga logistička regresija ne uspeva u potpunosti da uhvati, dok XGBoost prirodno modeluje takav nelinearni ili interakcijski efekat. Ovo je dodatni argument u prilog korišćenju oba modela paralelno, jer se njihove interpretacije međusobno nadopunjuju.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Konkretnija i možda informativnija potvrda dolazi iz SHAP analize, gde se otvorenost ugla ka golu, atribut koji ne postoji bez StatsBomb 360 podataka, plasira kao drugi najuticajniji atribut u celom modelu.</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S obzirom na to da je optimalni C približno 0,85 (relativno slaba regularizacija), efekat ovog propusta procenjuje se kao zanemarljiv, ali se navodi kao metodološka nepreciznost.</w:t>
      </w:r>
    </w:p>
    <w:p>
      <w:pPr>
        <w:spacing w:after="160" w:line="276"/>
        <w:ind w:firstLine="397"/>
        <w:jc w:val="both"/>
      </w:pPr>
      <w:r>
        <w:rPr>
          <w:rFonts w:ascii="Calibri" w:cs="Calibri" w:eastAsia="Calibri" w:hAnsi="Calibri"/>
          <w:sz w:val="22"/>
          <w:szCs w:val="22"/>
        </w:rPr>
        <w:t xml:space="preserve">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koordinate su u StatsBomb sistemu (0-120 x 0-80), a radijus defanzivnog pritiska i širina gola su izraženi u fizičkim jedinicama (jardi/metri). Konverzija je primenjenja linerano (1 SB jedinica = 105/120 = 0,875m za x-osu), ali ovo treba jasno navesti jer StatsBomb ne objavljuje zvanično mapiranje na fizičke dimenzije terena.</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Otvorenost ugla ka golu, atribut izveden direktno iz StatsBomb 360 podataka, pokazala se kao drugi najuticajniji prediktor u fitovanom XGBoost modelu, odmah iza ugla šuta. Ovo je nalaz o prediktivnoj asocijaciji, ne o uzročnom efektu: SHAP objašnjava ponašanje konkretnog modela, ali ne dokazuje da promena otvorenosti gola uzrokuje promenu ishoda. Istovremeno, formalna provera distribucijskog pomaka (KS test) pokazala je da su marginalne raspodele udaljenosti i ugla šuta statistički slične kroz sva tri turnira, dok se stopa konverzije značajno razlikuje. Ovo ne dokazuje jednakost ukupnog kvaliteta šansi (mogu se razlikovati zajednička raspodela, tip asistencije, brzina lopte i drugi faktori), ali sugeriše da razlike u performansu modela između turnira ne potiču iz grubih razlika u geometrijskoj distribuciji šuteva.</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2026-08-16T22:11:00.320Z</dcterms:created>
  <dcterms:modified xsi:type="dcterms:W3CDTF">2026-08-16T22:11:00.321Z</dcterms:modified>
</cp:coreProperties>
</file>

<file path=docProps/custom.xml><?xml version="1.0" encoding="utf-8"?>
<Properties xmlns="http://schemas.openxmlformats.org/officeDocument/2006/custom-properties" xmlns:vt="http://schemas.openxmlformats.org/officeDocument/2006/docPropsVTypes"/>
</file>