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i nema isti takmičarski i psihološki kontekst kao penal dosuđen tokom igre.</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pPr>
        <w:tabs>
          <w:tab w:val="right" w:pos="9000"/>
        </w:tabs>
        <w:spacing w:after="200" w:before="160"/>
        <w:jc w:val="center"/>
      </w:pPr>
      <m:oMath>
        <m:r>
          <m:t>anomaly = </m:t>
        </m:r>
        <m:sSub>
          <m:sSubPr/>
          <m:e>
            <m:r>
              <m:t>d</m:t>
            </m:r>
          </m:e>
          <m:sub>
            <m:r>
              <m:t>gk</m:t>
            </m:r>
          </m:sub>
        </m:sSub>
        <m:r>
          <m:t> − (a·</m:t>
        </m:r>
        <m:sSub>
          <m:sSubPr/>
          <m:e>
            <m:r>
              <m:t>d</m:t>
            </m:r>
          </m:e>
          <m:sub>
            <m:r>
              <m:t>shot</m:t>
            </m:r>
          </m:sub>
        </m:sSub>
        <m:r>
          <m:t> + b)</m:t>
        </m:r>
      </m:oMath>
      <w:r>
        <w:rPr>
          <w:sz w:val="20"/>
          <w:szCs w:val="20"/>
        </w:rPr>
        <w:t xml:space="preserve">	(16)</w:t>
      </w:r>
    </w:p>
    <w:p>
      <w:pPr>
        <w:spacing w:after="160" w:line="276"/>
        <w:ind w:firstLine="397"/>
        <w:jc w:val="both"/>
      </w:pPr>
      <w:r>
        <w:rPr>
          <w:rFonts w:ascii="Calibri" w:cs="Calibri" w:eastAsia="Calibri" w:hAnsi="Calibri"/>
          <w:sz w:val="22"/>
          <w:szCs w:val="22"/>
        </w:rPr>
        <w:t xml:space="preserve">gde su a i b koeficijenti proste linearne regresije udaljenosti golmana (d_gk) na udaljenost šuta (d_shot), procenjeni na celom skupu podataka. Ovom transformacijom VIF je spušten ispod 2.</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koja je značajno poboljšala Brier skor (na primer, za Model B XGBoost sa 0,175 na 0,070).</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0,339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0,185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0,184</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0,794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0,783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0,159</w:t>
            </w:r>
          </w:p>
        </w:tc>
      </w:tr>
    </w:tbl>
    <w:p>
      <w:pPr>
        <w:spacing w:after="160" w:line="276"/>
        <w:ind w:firstLine="397"/>
        <w:jc w:val="both"/>
      </w:pPr>
      <w:r>
        <w:rPr>
          <w:rFonts w:ascii="Calibri" w:cs="Calibri" w:eastAsia="Calibri" w:hAnsi="Calibri"/>
          <w:sz w:val="22"/>
          <w:szCs w:val="22"/>
        </w:rPr>
        <w:t xml:space="preserve">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0,185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0,178</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0,792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0,330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0,173</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0,780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0,149</w:t>
            </w:r>
          </w:p>
        </w:tc>
      </w:tr>
    </w:tbl>
    <w:p>
      <w:pPr>
        <w:spacing w:after="160" w:line="276"/>
        <w:ind w:firstLine="397"/>
        <w:jc w:val="both"/>
      </w:pPr>
      <w:r>
        <w:rPr>
          <w:rFonts w:ascii="Calibri" w:cs="Calibri" w:eastAsia="Calibri" w:hAnsi="Calibri"/>
          <w:sz w:val="22"/>
          <w:szCs w:val="22"/>
        </w:rPr>
        <w:t xml:space="preserve">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golmana).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3.966 šuteva (zajednički podskup, nakon uklanjanja redova s nedostajućim vrednostima opisanih u nastavku), kako bi poređenje log-likelihood vrednosti bilo validno. Rezultat je LR = 70,03, sa 7 stepeni slobode, što odgovara p-vrednosti od približno 1,46×10⁻¹², odlučno odbacujući nultu hipotezu da StatsBomb 360 atributi ne doprinose modelu. Ovaj nalaz je dodatno potkrepljen i informacionim kriterijumima: Akaikeov informacioni kriterijum (AIC) iznosi 2.088,75 za Model A i 2.032,72 za Model B, a Bajesov informacioni kriterijum (BIC) 2.245,89 naspram 2.233,86, oba favorizujući Model B uprkos kazni za veći broj parametara.</w:t>
      </w:r>
    </w:p>
    <w:p>
      <w:pPr>
        <w:spacing w:after="160" w:line="276"/>
        <w:ind w:firstLine="397"/>
        <w:jc w:val="both"/>
      </w:pPr>
      <w:r>
        <w:rPr>
          <w:rFonts w:ascii="Calibri" w:cs="Calibri" w:eastAsia="Calibri" w:hAnsi="Calibri"/>
          <w:sz w:val="22"/>
          <w:szCs w:val="22"/>
        </w:rPr>
        <w:t xml:space="preserve">Za XGBoost, modeli nisu ugnježdeni na isti parametarski način, pa Likelihood Ratio test nije primenjiv. Umesto toga, sprovedena je bootstrap analiza razlike ROC AUC na test skupu jednog reprezentativnog 80/20 train-test splita (isti protokol kao u koraku evaluacije diskriminacije i kalibracije). Test skup je resempliran sa ponavljanjem 2.000 puta, pri čemu su za svaki uzorak istovremeno (parno) preuzete predikcije oba modela na istim šutevima, da bi se očuvala zavisnost između parova predikcija. Opažena razlika ROC AUC (Model B minus Model A) iznosi 0,037, a 95% interval poverenja dobijen iz bootstrap raspodele iznosi [0,0068, 0,0675]. Pošto interval ne sadrži nulu, razlika se smatra statistički značajnom, sa približnom dvostranom p-vrednošću od 0,014.</w:t>
      </w:r>
    </w:p>
    <w:p>
      <w:pPr>
        <w:spacing w:after="160" w:line="276"/>
        <w:ind w:firstLine="397"/>
        <w:jc w:val="both"/>
      </w:pPr>
      <w:r>
        <w:rPr>
          <w:rFonts w:ascii="Calibri" w:cs="Calibri" w:eastAsia="Calibri" w:hAnsi="Calibri"/>
          <w:sz w:val="22"/>
          <w:szCs w:val="22"/>
        </w:rPr>
        <w:t xml:space="preserve">Vredno je naglasiti da se bootstrap analiza odnosi na jedan train-test split, a ne na Leave-One-Tournament-Out validaciju opisanu u prethodnom odeljku; sprovođenje bootstrap testiranja unutar svakog LOTO folda bi zahtevalo hiljade ponovnih treniranja XGBoost modela sa unutrašnjim podešavanjem hiperparametara, što je računarski znatno zahtevnije, a ovaj pristup već pruža teorijski utemeljenu i robusnu procenu značajnosti razlike na fiksnom test skupu, bez rizika od curenja podataka. Niža, mada i dalje značajna, p-vrednost bootstrap testa u odnosu na izrazito malu p-vrednost LR testa proizlazi iz prirode samih testova: LR test procenjuje promenu log-verodostojnosti na celom skupu podataka, dok bootstrap procenjuje varijabilnost jedne metrike (ROC AUC) na znatno manjem, izdvojenom test skupu od 794 šuta, što unosi veću varijansu u procenu.</w:t>
      </w:r>
    </w:p>
    <w:p>
      <w:pPr>
        <w:spacing w:after="160" w:line="276"/>
        <w:ind w:firstLine="397"/>
        <w:jc w:val="both"/>
      </w:pPr>
      <w:r>
        <w:rPr>
          <w:rFonts w:ascii="Calibri" w:cs="Calibri" w:eastAsia="Calibri" w:hAnsi="Calibri"/>
          <w:sz w:val="22"/>
          <w:szCs w:val="22"/>
        </w:rPr>
        <w:t xml:space="preserve">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0,173</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0,069</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0,170</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0,070</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0,183</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0,071</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0,175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0,070</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pPr>
        <w:pStyle w:val="Heading2"/>
      </w:pPr>
      <w:r>
        <w:t xml:space="preserve">4.5.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atribut, neposredno praćen otvorenošću ugla ka golu, izvedenom iz StatsBomb 360 podataka, koja se po prosečnoj apsolutnoj SHAP vrednosti plasira odmah iza ugla šuta i ispred udaljenosti od gola. Anomalija pozicije golmana, najbliža udaljenost branioca od linije šuta i defanzivni pritisak takođe se nalaze u prvih šest najuticajnijih atributa, ispred broja branilaca u liniji šuta. Ovo je konkretan i merljiv dokaz da prostorni atributi, a ne samo klasična geometrija šuta, nose suštinsku prediktivnu informaciju u modelu.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Pošto se ta razlika ne objašnjava razlikom u geometriji šuta, najverovatnije poticanje je iz faktora koje model ne hvata, kao što su individualni kvalitet izvedbe igrača, kvalitet golmana ili jednostavno slučajnost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Otvorenost ugla ka golu, atribut izveden direktno iz StatsBomb 360 podataka, pokazala se kao drugi najuticajniji prediktor u modelu, odmah iza ugla šuta, što je konkretan i merljiv dokaz vrednosti prostornih podataka. Istovremeno, formalna provera distribucijskog pomaka pokazala je da je geometrija šuta statistički slična kroz sva tri turnira, dok se stopa konverzije značajno razlikuje, što sugeriše da razlike u performansu modela između turnira potiču iz faktora finalizacije šanse, ne iz razlika u kvalitetu ili lokaciji stvorenih šansi.</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2026-06-29T11:51:20.197Z</dcterms:created>
  <dcterms:modified xsi:type="dcterms:W3CDTF">2026-06-29T11:51:20.197Z</dcterms:modified>
</cp:coreProperties>
</file>

<file path=docProps/custom.xml><?xml version="1.0" encoding="utf-8"?>
<Properties xmlns="http://schemas.openxmlformats.org/officeDocument/2006/custom-properties" xmlns:vt="http://schemas.openxmlformats.org/officeDocument/2006/docPropsVTypes"/>
</file>